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F34D" w14:textId="77777777" w:rsidR="00EB1ECA" w:rsidRPr="00EB1ECA" w:rsidRDefault="00EB1ECA" w:rsidP="00EB1EC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6AC4C93C" w14:textId="77777777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pl-PL"/>
        </w:rPr>
        <w:t>Elektroprivreda Crne Gore AD Nikšić</w:t>
      </w:r>
    </w:p>
    <w:p w14:paraId="1A68E1BC" w14:textId="0FD3D478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it-IT"/>
        </w:rPr>
        <w:t>Broj iz eviden</w:t>
      </w:r>
      <w:r w:rsidR="00196A2D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cije postupaka javnih nabavki: </w:t>
      </w:r>
      <w:r w:rsidR="002D040A">
        <w:rPr>
          <w:rFonts w:ascii="Arial" w:eastAsia="Times New Roman" w:hAnsi="Arial" w:cs="Arial"/>
          <w:color w:val="000000"/>
          <w:sz w:val="24"/>
          <w:szCs w:val="24"/>
          <w:lang w:val="it-IT"/>
        </w:rPr>
        <w:t>30/26</w:t>
      </w:r>
    </w:p>
    <w:p w14:paraId="7DB758E7" w14:textId="7FD68D47" w:rsidR="008E518F" w:rsidRDefault="00EB1ECA" w:rsidP="008E518F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Redni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broj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iz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Plana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javnih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nabavki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: </w:t>
      </w:r>
      <w:r w:rsidR="002D040A">
        <w:rPr>
          <w:rFonts w:ascii="Arial" w:eastAsia="Times New Roman" w:hAnsi="Arial" w:cs="Arial"/>
          <w:color w:val="000000"/>
          <w:sz w:val="24"/>
          <w:szCs w:val="24"/>
          <w:lang w:val="pl-PL"/>
        </w:rPr>
        <w:t>65,66,67,70</w:t>
      </w:r>
    </w:p>
    <w:p w14:paraId="137D9A77" w14:textId="6FB15E3C" w:rsidR="00EB1ECA" w:rsidRPr="00EB1ECA" w:rsidRDefault="00EB1ECA" w:rsidP="00C65185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Mjesto i </w:t>
      </w:r>
      <w:r w:rsidRPr="000B17B1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datum: Nikšić, </w:t>
      </w:r>
      <w:r w:rsidR="00807066">
        <w:rPr>
          <w:rFonts w:ascii="Arial" w:eastAsia="Times New Roman" w:hAnsi="Arial" w:cs="Arial"/>
          <w:color w:val="000000"/>
          <w:sz w:val="24"/>
          <w:szCs w:val="24"/>
          <w:lang w:val="it-IT"/>
        </w:rPr>
        <w:t>06</w:t>
      </w:r>
      <w:r w:rsidR="002D040A">
        <w:rPr>
          <w:rFonts w:ascii="Arial" w:eastAsia="Times New Roman" w:hAnsi="Arial" w:cs="Arial"/>
          <w:color w:val="000000"/>
          <w:sz w:val="24"/>
          <w:szCs w:val="24"/>
          <w:lang w:val="it-IT"/>
        </w:rPr>
        <w:t>.03.2026</w:t>
      </w:r>
      <w:r w:rsidR="00C65185">
        <w:rPr>
          <w:rFonts w:ascii="Arial" w:eastAsia="Times New Roman" w:hAnsi="Arial" w:cs="Arial"/>
          <w:color w:val="000000"/>
          <w:sz w:val="24"/>
          <w:szCs w:val="24"/>
          <w:lang w:val="it-IT"/>
        </w:rPr>
        <w:t>.godine</w:t>
      </w:r>
    </w:p>
    <w:p w14:paraId="549B8A11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0C88E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ED5192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Na osnovu člana 53 stav 3 Zakona o javnim nabavkama („Službeni list CG“, br. 74/19</w:t>
      </w:r>
      <w:r w:rsidRPr="00531F94">
        <w:rPr>
          <w:rFonts w:ascii="Arial" w:eastAsia="Times New Roman" w:hAnsi="Arial" w:cs="Arial"/>
          <w:sz w:val="24"/>
          <w:szCs w:val="24"/>
        </w:rPr>
        <w:t xml:space="preserve">, </w:t>
      </w:r>
      <w:r w:rsidRPr="00EB1ECA">
        <w:rPr>
          <w:rFonts w:ascii="Arial" w:eastAsia="Times New Roman" w:hAnsi="Arial" w:cs="Arial"/>
          <w:sz w:val="24"/>
          <w:szCs w:val="24"/>
        </w:rPr>
        <w:t>3/23</w:t>
      </w:r>
      <w:r w:rsidRPr="00531F94">
        <w:rPr>
          <w:rFonts w:ascii="Arial" w:eastAsia="Times New Roman" w:hAnsi="Arial" w:cs="Arial"/>
          <w:sz w:val="24"/>
          <w:szCs w:val="24"/>
        </w:rPr>
        <w:t xml:space="preserve"> i 11/23</w:t>
      </w:r>
      <w:r w:rsidRPr="00EB1ECA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Elektroprivreda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Crne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Gore AD Nikšić</w:t>
      </w:r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objavljuje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14:paraId="385F42DA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9485EE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E2C20C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33AFDE2" w14:textId="77777777" w:rsidR="00EB1ECA" w:rsidRPr="00531F94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92A916E" w14:textId="77777777" w:rsidR="00531F94" w:rsidRPr="00EB1ECA" w:rsidRDefault="00531F94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11A09FF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B1E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14:paraId="5EFE37BA" w14:textId="77777777" w:rsidR="00EB1ECA" w:rsidRPr="00EB1ECA" w:rsidRDefault="00EB1ECA" w:rsidP="00EB1EC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ACCE56" w14:textId="77777777" w:rsidR="00EB1ECA" w:rsidRPr="00EB1ECA" w:rsidRDefault="00EB1ECA" w:rsidP="00EB1E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TENDERSKU DOKUMENTACIJU</w:t>
      </w:r>
    </w:p>
    <w:p w14:paraId="55749088" w14:textId="77777777" w:rsidR="00EB1ECA" w:rsidRPr="00EB1ECA" w:rsidRDefault="00EB1ECA" w:rsidP="008A0A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ZA OTVORENI POSTUPAK JAVNE NABAVKE</w:t>
      </w:r>
    </w:p>
    <w:p w14:paraId="73D9A2B2" w14:textId="294D573A" w:rsidR="00EB1ECA" w:rsidRPr="00531F94" w:rsidRDefault="00D336FA" w:rsidP="00EB1E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robe</w:t>
      </w:r>
      <w:r w:rsidR="008A0A7D"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F437913" w14:textId="77777777" w:rsidR="008A0A7D" w:rsidRPr="00531F94" w:rsidRDefault="008A0A7D" w:rsidP="00EB1E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445F264" w14:textId="4EC9A5A7" w:rsidR="008A0A7D" w:rsidRPr="00531F94" w:rsidRDefault="00C65185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                        </w:t>
      </w:r>
      <w:proofErr w:type="spellStart"/>
      <w:r w:rsidRPr="00C65185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</w:t>
      </w:r>
      <w:proofErr w:type="spellEnd"/>
      <w:r w:rsidRPr="00C6518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IT </w:t>
      </w:r>
      <w:proofErr w:type="spellStart"/>
      <w:r w:rsidRPr="00C65185">
        <w:rPr>
          <w:rFonts w:ascii="Arial" w:eastAsia="Times New Roman" w:hAnsi="Arial" w:cs="Arial"/>
          <w:color w:val="000000"/>
          <w:sz w:val="24"/>
          <w:szCs w:val="24"/>
          <w:lang w:val="en-US"/>
        </w:rPr>
        <w:t>opreme</w:t>
      </w:r>
      <w:proofErr w:type="spellEnd"/>
      <w:r w:rsidRPr="00C6518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5185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C6518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5185">
        <w:rPr>
          <w:rFonts w:ascii="Arial" w:eastAsia="Times New Roman" w:hAnsi="Arial" w:cs="Arial"/>
          <w:color w:val="000000"/>
          <w:sz w:val="24"/>
          <w:szCs w:val="24"/>
          <w:lang w:val="en-US"/>
        </w:rPr>
        <w:t>potrebe</w:t>
      </w:r>
      <w:proofErr w:type="spellEnd"/>
      <w:r w:rsidRPr="00C6518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EPCG</w:t>
      </w:r>
    </w:p>
    <w:p w14:paraId="7A70AA23" w14:textId="77777777" w:rsid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3D2EF4" w14:textId="77777777" w:rsidR="008E518F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3F1F35" w14:textId="77777777" w:rsidR="008E518F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9D028E" w14:textId="77777777" w:rsidR="008E518F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77D44E" w14:textId="77777777" w:rsidR="008E518F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18A28F" w14:textId="77777777" w:rsidR="008E518F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2102EA" w14:textId="77777777" w:rsidR="008E518F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79C956" w14:textId="77777777" w:rsidR="008E518F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2DCBAC" w14:textId="77777777" w:rsidR="008E518F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5D2107" w14:textId="77777777" w:rsidR="00386908" w:rsidRDefault="00386908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C8CD94" w14:textId="77777777" w:rsidR="00386908" w:rsidRDefault="00386908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837DE8" w14:textId="77777777" w:rsidR="00386908" w:rsidRDefault="00386908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EB60C0" w14:textId="77777777" w:rsidR="008E518F" w:rsidRPr="00531F94" w:rsidRDefault="008E518F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3BE950" w14:textId="77777777" w:rsidR="00531F94" w:rsidRP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7291C8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4F78D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14:paraId="79DB285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A69A64" w14:textId="070CA57C" w:rsidR="008A0A7D" w:rsidRPr="00531F94" w:rsidRDefault="008A0A7D" w:rsidP="008A0A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8E518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8E518F">
        <w:rPr>
          <w:rFonts w:ascii="Arial" w:eastAsia="Times New Roman" w:hAnsi="Arial" w:cs="Arial"/>
          <w:color w:val="000000"/>
          <w:sz w:val="24"/>
          <w:szCs w:val="24"/>
          <w:lang w:val="en-US"/>
        </w:rPr>
        <w:t>cjelina</w:t>
      </w:r>
      <w:proofErr w:type="spellEnd"/>
      <w:proofErr w:type="gramEnd"/>
    </w:p>
    <w:p w14:paraId="7D7DEEF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45E84D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EDB901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DF057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46F2EB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C2299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DE0523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77DB2B" w14:textId="77777777" w:rsidR="00EB1ECA" w:rsidRPr="00EB1ECA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Toc62730553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POZIV ZA NADMETANJE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1"/>
      </w:r>
      <w:bookmarkEnd w:id="0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201FD717" w14:textId="77777777" w:rsidR="00EB1ECA" w:rsidRPr="00EB1ECA" w:rsidRDefault="00EB1ECA" w:rsidP="00CA00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08B585D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14:paraId="7CC99470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14:paraId="5C5096C8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14:paraId="1AB55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14:paraId="393FA56A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 w:rsidRPr="00EB1ECA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EB1ECA"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59B993DF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14:paraId="3F6AACFA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Cjelina, po partijama,</w:t>
      </w:r>
    </w:p>
    <w:p w14:paraId="7A7AB9ED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Zajednička nabavka,</w:t>
      </w:r>
    </w:p>
    <w:p w14:paraId="513BA166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Centralizovana nabavka,</w:t>
      </w:r>
    </w:p>
    <w:p w14:paraId="77AB99E5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14:paraId="0D3BF036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14:paraId="4F7B1192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14:paraId="3F5DF298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14:paraId="123081EB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14:paraId="69F4DFE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14:paraId="723E57FD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14:paraId="5CC27227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14:paraId="2AA23C14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14:paraId="2CE79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14:paraId="4B010DA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14:paraId="02756E6D" w14:textId="77777777" w:rsidR="00EB1ECA" w:rsidRDefault="00EB1ECA" w:rsidP="00EB1E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559C704" w14:textId="77777777" w:rsidR="006B11BA" w:rsidRPr="00EB1ECA" w:rsidRDefault="006B11BA" w:rsidP="00EB1E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E1A0C42" w14:textId="77777777" w:rsidR="00EB1ECA" w:rsidRPr="00CA004E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4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3"/>
      </w:r>
      <w:bookmarkEnd w:id="1"/>
    </w:p>
    <w:p w14:paraId="785536D0" w14:textId="77777777" w:rsidR="00EB1ECA" w:rsidRPr="00EB1ECA" w:rsidRDefault="00EB1ECA" w:rsidP="00EB1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Naziv i opis predmeta nabavke u cjelini, po partijama i stavkama sa bitnim karakteristikama</w:t>
      </w:r>
    </w:p>
    <w:p w14:paraId="259DE4A8" w14:textId="1918E497" w:rsidR="006B11BA" w:rsidRPr="00BF1B39" w:rsidRDefault="00EB1ECA" w:rsidP="00C115C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Zahtjevi u pogledu načina izvršavanja predmeta nabavke koji su od značaja za sačinjavanje ponude i izvršenje ugovora</w:t>
      </w:r>
    </w:p>
    <w:p w14:paraId="4BE537C2" w14:textId="33E637DE" w:rsidR="00C115CE" w:rsidRPr="00C115CE" w:rsidRDefault="00C115CE" w:rsidP="00C115CE">
      <w:pPr>
        <w:pStyle w:val="ListParagraph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hAnsi="Arial"/>
          <w:b/>
          <w:noProof/>
          <w:color w:val="000000"/>
          <w:szCs w:val="32"/>
        </w:rPr>
      </w:pPr>
      <w:r w:rsidRPr="00C115CE">
        <w:rPr>
          <w:rFonts w:ascii="Arial" w:hAnsi="Arial"/>
          <w:b/>
          <w:noProof/>
          <w:color w:val="000000"/>
          <w:szCs w:val="32"/>
        </w:rPr>
        <w:t>Bitne napomene za sačinjavanje Finansijskog dijela ponude:</w:t>
      </w:r>
    </w:p>
    <w:p w14:paraId="3398FC39" w14:textId="77777777" w:rsidR="00C115CE" w:rsidRDefault="00C115CE" w:rsidP="00C115CE">
      <w:pPr>
        <w:spacing w:after="0" w:line="240" w:lineRule="auto"/>
        <w:rPr>
          <w:rFonts w:ascii="Calibri" w:eastAsia="Calibri" w:hAnsi="Calibri" w:cs="Times New Roman"/>
          <w:noProof/>
          <w:color w:val="000000"/>
        </w:rPr>
      </w:pPr>
    </w:p>
    <w:p w14:paraId="72F3A80F" w14:textId="69E6CB7D" w:rsidR="006B11BA" w:rsidRPr="00485515" w:rsidRDefault="00485515" w:rsidP="00485515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Calibri" w:hAnsi="Arial" w:cs="Arial"/>
          <w:noProof/>
          <w:color w:val="000000"/>
        </w:rPr>
      </w:pPr>
      <w:r w:rsidRPr="00485515">
        <w:rPr>
          <w:rFonts w:ascii="Arial" w:eastAsia="Calibri" w:hAnsi="Arial" w:cs="Arial"/>
          <w:noProof/>
          <w:color w:val="000000"/>
        </w:rPr>
        <w:t>Za svaku stavku Finansijskog dijela ponude, u koloni “bitne karakteristike ponuđenog predmeta nabavke”, Ponuđači, pored ponuđenih tehničkih karakteristika, upisuju i podatke o nazivu proizvođača i tipu proizvoda.</w:t>
      </w:r>
    </w:p>
    <w:p w14:paraId="5F2ED10D" w14:textId="77777777" w:rsidR="008A0A7D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A79108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F73AA62" w14:textId="77777777" w:rsidR="00BF1B39" w:rsidRPr="00531F94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216CA46" w14:textId="02B8A90E" w:rsidR="00EB1ECA" w:rsidRPr="00EB1ECA" w:rsidRDefault="00EB1ECA" w:rsidP="008A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4"/>
      </w:r>
    </w:p>
    <w:p w14:paraId="7CC0A5C1" w14:textId="77777777" w:rsidR="00485515" w:rsidRDefault="00485515" w:rsidP="008A0A7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01902F6D" w14:textId="77777777" w:rsidR="00BF1B39" w:rsidRPr="00BF1B39" w:rsidRDefault="00BF1B39" w:rsidP="00BF1B39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</w:pPr>
      <w:r w:rsidRPr="00BF1B39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BF1B3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F1B39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Procijenjena</w:t>
      </w:r>
      <w:proofErr w:type="spellEnd"/>
      <w:r w:rsidRPr="00BF1B39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1B39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vrijednost</w:t>
      </w:r>
      <w:proofErr w:type="spellEnd"/>
      <w:r w:rsidRPr="00BF1B39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1B39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predmeta</w:t>
      </w:r>
      <w:proofErr w:type="spellEnd"/>
      <w:r w:rsidRPr="00BF1B39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F1B39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nabavke</w:t>
      </w:r>
      <w:proofErr w:type="spellEnd"/>
      <w:r w:rsidRPr="00BF1B39"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</w:p>
    <w:p w14:paraId="137818EE" w14:textId="77777777" w:rsidR="00BF1B39" w:rsidRPr="00BF1B39" w:rsidRDefault="00BF1B39" w:rsidP="00BF1B3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01611C03" w14:textId="37CD247B" w:rsidR="00BF1B39" w:rsidRPr="00BF1B39" w:rsidRDefault="00BF1B39" w:rsidP="00BF1B3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BF1B39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BF1B39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C77125">
        <w:rPr>
          <w:rFonts w:ascii="Arial" w:eastAsia="Calibri" w:hAnsi="Arial" w:cs="Arial"/>
          <w:color w:val="000000"/>
          <w:sz w:val="24"/>
          <w:szCs w:val="24"/>
          <w:lang w:val="en-US"/>
        </w:rPr>
        <w:t>kao</w:t>
      </w:r>
      <w:proofErr w:type="spellEnd"/>
      <w:proofErr w:type="gramEnd"/>
      <w:r w:rsidR="00C77125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C77125">
        <w:rPr>
          <w:rFonts w:ascii="Arial" w:eastAsia="Calibri" w:hAnsi="Arial" w:cs="Arial"/>
          <w:color w:val="000000"/>
          <w:sz w:val="24"/>
          <w:szCs w:val="24"/>
          <w:lang w:val="en-US"/>
        </w:rPr>
        <w:t>cjelina</w:t>
      </w:r>
      <w:proofErr w:type="spellEnd"/>
      <w:r w:rsidRPr="00BF1B39"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</w:p>
    <w:p w14:paraId="3C3FC3DA" w14:textId="4563300E" w:rsidR="00C65185" w:rsidRPr="00C65185" w:rsidRDefault="00C65185" w:rsidP="00C65185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lastRenderedPageBreak/>
        <w:t>Nabavka</w:t>
      </w:r>
      <w:proofErr w:type="spellEnd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IT </w:t>
      </w:r>
      <w:proofErr w:type="spellStart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>opreme</w:t>
      </w:r>
      <w:proofErr w:type="spellEnd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>za</w:t>
      </w:r>
      <w:proofErr w:type="spellEnd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>potrebe</w:t>
      </w:r>
      <w:proofErr w:type="spellEnd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EPCG, </w:t>
      </w:r>
      <w:proofErr w:type="spellStart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>procijenjene</w:t>
      </w:r>
      <w:proofErr w:type="spellEnd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>vrijednosti</w:t>
      </w:r>
      <w:proofErr w:type="spellEnd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="002D040A">
        <w:rPr>
          <w:rFonts w:ascii="Arial" w:eastAsia="Calibri" w:hAnsi="Arial" w:cs="Arial"/>
          <w:color w:val="000000"/>
          <w:sz w:val="24"/>
          <w:szCs w:val="24"/>
          <w:lang w:val="en-US"/>
        </w:rPr>
        <w:t>45</w:t>
      </w:r>
      <w:r w:rsidR="004C500D">
        <w:rPr>
          <w:rFonts w:ascii="Arial" w:eastAsia="Calibri" w:hAnsi="Arial" w:cs="Arial"/>
          <w:color w:val="000000"/>
          <w:sz w:val="24"/>
          <w:szCs w:val="24"/>
          <w:lang w:val="en-US"/>
        </w:rPr>
        <w:t>.0</w:t>
      </w:r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>00</w:t>
      </w:r>
      <w:proofErr w:type="gramStart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>,00</w:t>
      </w:r>
      <w:proofErr w:type="gramEnd"/>
      <w:r w:rsidRPr="00C65185">
        <w:rPr>
          <w:rFonts w:ascii="Arial" w:eastAsia="Calibri" w:hAnsi="Arial" w:cs="Arial"/>
          <w:color w:val="000000"/>
          <w:sz w:val="24"/>
          <w:szCs w:val="24"/>
          <w:lang w:val="en-US"/>
        </w:rPr>
        <w:t>€ (bez PDV-a);</w:t>
      </w:r>
    </w:p>
    <w:p w14:paraId="3271CC8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4FF305D" w14:textId="77777777" w:rsidR="00602D02" w:rsidRPr="00EB1ECA" w:rsidRDefault="00602D02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B8781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ZAKLJUČIVANJE OKVIRNOG SPORAZUMA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5"/>
      </w:r>
    </w:p>
    <w:p w14:paraId="36E324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0B8E0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14:paraId="2D539F45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11EAE9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66DEC7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14:paraId="5215B34D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8C668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ZAKLJUČUJU ZAJEDNIČKU NABAVKU</w:t>
      </w:r>
    </w:p>
    <w:p w14:paraId="1646A69C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72666B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Nije primjenjivo.</w:t>
      </w:r>
    </w:p>
    <w:p w14:paraId="52CFF61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213E7B" w14:textId="77777777" w:rsidR="00EB1ECA" w:rsidRPr="00EB1ECA" w:rsidRDefault="00EB1ECA" w:rsidP="00EB1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SU UKLJUČENI U CENTRALIZOVANU NABAVKU</w:t>
      </w:r>
    </w:p>
    <w:p w14:paraId="0966B1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C3ADC1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1F94">
        <w:rPr>
          <w:rFonts w:ascii="Arial" w:eastAsia="Times New Roman" w:hAnsi="Arial" w:cs="Arial"/>
          <w:sz w:val="24"/>
          <w:szCs w:val="24"/>
        </w:rPr>
        <w:t>Nije primjenjivo.</w:t>
      </w:r>
      <w:r w:rsidR="00EB1ECA" w:rsidRPr="00EB1EC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D9F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1A46C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NAČIN SPROVOĐENJA ELEKTRONSKE AUKCIJE</w:t>
      </w:r>
    </w:p>
    <w:p w14:paraId="6A19752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FB8DF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  <w:r w:rsidR="00EB1ECA" w:rsidRPr="00EB1ECA">
        <w:rPr>
          <w:rFonts w:ascii="Arial" w:eastAsia="Times New Roman" w:hAnsi="Arial" w:cs="Arial"/>
          <w:color w:val="222A35"/>
          <w:sz w:val="24"/>
          <w:szCs w:val="24"/>
        </w:rPr>
        <w:t xml:space="preserve">. </w:t>
      </w:r>
    </w:p>
    <w:p w14:paraId="095438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CD9A9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ELEKTRONSKI KATALOG</w:t>
      </w:r>
      <w:r w:rsidRPr="00EB1E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4537202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ED87604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</w:p>
    <w:p w14:paraId="0134641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F0FB9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14:paraId="24F1521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E5EC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14:paraId="07A3702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2DCF7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14:paraId="02B3C42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14:paraId="4579C10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AEED26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14:paraId="6709C3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7CAB82B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Da</w:t>
      </w:r>
    </w:p>
    <w:p w14:paraId="5AC1D435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8F6E4AC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2" w:name="_Toc62730556"/>
      <w:r w:rsidRPr="00EB1ECA">
        <w:rPr>
          <w:rFonts w:ascii="Arial" w:eastAsia="Times New Roman" w:hAnsi="Arial" w:cs="Arial"/>
          <w:b/>
          <w:sz w:val="24"/>
          <w:szCs w:val="24"/>
        </w:rPr>
        <w:t>NAČIN UTVRĐIVANJA EKVIVALENTNOSTI</w:t>
      </w:r>
      <w:bookmarkEnd w:id="2"/>
    </w:p>
    <w:p w14:paraId="12AF782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</w:p>
    <w:p w14:paraId="5248A290" w14:textId="7C96A8BF" w:rsidR="00B17EB4" w:rsidRPr="00C155CA" w:rsidRDefault="00766F84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66F84">
        <w:rPr>
          <w:rFonts w:ascii="Arial" w:eastAsia="Times New Roman" w:hAnsi="Arial" w:cs="Arial"/>
          <w:bCs/>
          <w:color w:val="000000"/>
          <w:sz w:val="24"/>
          <w:szCs w:val="24"/>
        </w:rPr>
        <w:t>Način utvrđivanja ekvivalentnosti: Za sve stavke na kojima se pominje proizvođač, tip ili kataloški broj određenog proizvođača, ponuđači su u mogućnosti da ponude ekvivalent. Ekvivalentnost se dokazuje dostavljanjem tehničkih/kataloških listova kojima se potvrđuje da ponuđena roba ispunjava uslove propisane tehničkim karakteristikama predmetne tenderske dokumentacije</w:t>
      </w:r>
      <w:r w:rsidR="00C155CA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6B6C417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3" w:name="_Toc62730557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OSNOVI ZA OBAVEZNO ISKLJUČENJE IZ POSTUPKA JAVNE NABAVKE</w:t>
      </w:r>
      <w:bookmarkEnd w:id="3"/>
    </w:p>
    <w:p w14:paraId="3318539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4A935A" w14:textId="77777777" w:rsidR="00EB1ECA" w:rsidRPr="00EB1ECA" w:rsidRDefault="00EB1ECA" w:rsidP="00D60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14:paraId="1303CDF2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4" w:name="_Toc62730558"/>
      <w:r w:rsidRPr="00EB1ECA">
        <w:rPr>
          <w:rFonts w:ascii="Arial" w:eastAsia="Times New Roman" w:hAnsi="Arial" w:cs="Arial"/>
          <w:sz w:val="24"/>
          <w:szCs w:val="24"/>
        </w:rPr>
        <w:t>je vršio neprimjeren uticaj u smislu člana 38 stav 2 tačka 1 ovog zakona;</w:t>
      </w:r>
    </w:p>
    <w:p w14:paraId="1400861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sukob interesa iz člana 41 stav 1 tačka 2 ili člana 42 ovog zakona;</w:t>
      </w:r>
    </w:p>
    <w:p w14:paraId="7326187E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14:paraId="178693A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14:paraId="20DC686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429F2538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razlog na osnovu kojeg se smatra da je odustao od prijave, odnosno ponude, a koji je propisan članom 120 stav 15 ovog zakona;</w:t>
      </w:r>
    </w:p>
    <w:p w14:paraId="6E63A657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FF13F01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14:paraId="650AFCA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SREDSTVA FINANSIJSKOG OBEZBJEĐENJA UGOVORA O JAVNOJ NABAVCI</w:t>
      </w:r>
      <w:bookmarkEnd w:id="4"/>
    </w:p>
    <w:p w14:paraId="718C67A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613A99" w14:textId="118DE355" w:rsidR="00B7029F" w:rsidRDefault="005E2453" w:rsidP="005E24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029F" w:rsidRPr="00531F94">
        <w:rPr>
          <w:rFonts w:ascii="Arial" w:eastAsia="Times New Roman" w:hAnsi="Arial" w:cs="Arial"/>
          <w:color w:val="000000"/>
          <w:sz w:val="24"/>
          <w:szCs w:val="24"/>
        </w:rPr>
        <w:t>Ponuđač čija ponuda bude izabrana kao najpovoljnija je dužan da uz potpisan ugovor o j</w:t>
      </w:r>
      <w:r>
        <w:rPr>
          <w:rFonts w:ascii="Arial" w:eastAsia="Times New Roman" w:hAnsi="Arial" w:cs="Arial"/>
          <w:color w:val="000000"/>
          <w:sz w:val="24"/>
          <w:szCs w:val="24"/>
        </w:rPr>
        <w:t>avnoj nabavci dostavi Naručiocu G</w:t>
      </w:r>
      <w:r w:rsidR="00B7029F" w:rsidRPr="00492BCE">
        <w:rPr>
          <w:rFonts w:ascii="Arial" w:eastAsia="Times New Roman" w:hAnsi="Arial" w:cs="Arial"/>
          <w:color w:val="000000"/>
          <w:sz w:val="24"/>
          <w:szCs w:val="24"/>
        </w:rPr>
        <w:t>aranciju za dobro izvršenje ugovora za slučaj povrede ugovorenih obaveza u iznosu</w:t>
      </w:r>
      <w:r w:rsidR="000B17B1" w:rsidRPr="00492BCE">
        <w:rPr>
          <w:rFonts w:ascii="Arial" w:eastAsia="Times New Roman" w:hAnsi="Arial" w:cs="Arial"/>
          <w:color w:val="000000"/>
          <w:sz w:val="24"/>
          <w:szCs w:val="24"/>
        </w:rPr>
        <w:t xml:space="preserve"> od 10 % od vrijednosti ugovora.</w:t>
      </w:r>
    </w:p>
    <w:p w14:paraId="6B815848" w14:textId="77777777" w:rsidR="00471B1A" w:rsidRPr="00471B1A" w:rsidRDefault="00471B1A" w:rsidP="00471B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71B1A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471B1A">
        <w:rPr>
          <w:rFonts w:ascii="Arial" w:eastAsia="Times New Roman" w:hAnsi="Arial" w:cs="Arial"/>
          <w:color w:val="000000"/>
          <w:sz w:val="24"/>
          <w:szCs w:val="24"/>
        </w:rPr>
        <w:t xml:space="preserve"> Garanciju za otklanjanje nedostataka u garantnom roku, za slučaj da izabrani ponuđač u garantnom roku ne ispuni obaveze na koje se garancija odnosi u iznosu od 10 % od vrijednosti ugovora sa rokom važenja 5 dana dužem od ugovorenog garantnog perioda.</w:t>
      </w:r>
    </w:p>
    <w:p w14:paraId="6D59EBF2" w14:textId="77777777" w:rsidR="00471B1A" w:rsidRPr="00492BCE" w:rsidRDefault="00471B1A" w:rsidP="005E24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3A1037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5" w:name="_Toc62730559"/>
      <w:r w:rsidRPr="00EB1ECA">
        <w:rPr>
          <w:rFonts w:ascii="Arial" w:eastAsia="Times New Roman" w:hAnsi="Arial" w:cs="Arial"/>
          <w:b/>
          <w:sz w:val="24"/>
          <w:szCs w:val="24"/>
        </w:rPr>
        <w:t>METODOLOGIJA VREDNOVANJA PONUDA</w:t>
      </w:r>
      <w:bookmarkEnd w:id="5"/>
    </w:p>
    <w:p w14:paraId="230F902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19F56C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Naru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>č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ilac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ć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nabavki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izabrati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ekonomski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najpovoljniju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ponudu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primjenom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pristupa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isplativosti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kriterijuma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9E8EE2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41CD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odnos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cijene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kvaliteta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0D23394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B116A58" w14:textId="77777777" w:rsidR="00B7029F" w:rsidRPr="00B7029F" w:rsidRDefault="00B7029F" w:rsidP="00B7029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Ponude po potkriterijumu cijena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06296094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7C6ACBFD" w14:textId="502EFCAA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Maksimalan broj bodova po ovom potkriterijumu je </w:t>
      </w:r>
      <w:r w:rsidR="00EF186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90</w:t>
      </w:r>
    </w:p>
    <w:p w14:paraId="2820B6A4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</w:p>
    <w:p w14:paraId="0A0B67E8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Broj 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 xml:space="preserve">bodova po potkriterijumu cijena 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odre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đ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uje se po formuli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>:</w:t>
      </w:r>
    </w:p>
    <w:p w14:paraId="729DD6D7" w14:textId="2E1F4EEC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=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(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/C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)</w:t>
      </w:r>
      <w:r w:rsidR="00BF1B3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x9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0</w:t>
      </w:r>
    </w:p>
    <w:p w14:paraId="2C47F2B6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  <w:t>gdje je:</w:t>
      </w:r>
    </w:p>
    <w:p w14:paraId="5F370CA7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 – broj bodova za ponuđenu cijenu,</w:t>
      </w:r>
    </w:p>
    <w:p w14:paraId="5DED4905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        C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najniža ponuđena cijena,</w:t>
      </w:r>
    </w:p>
    <w:p w14:paraId="7317234C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 ponuđena cijena,</w:t>
      </w:r>
    </w:p>
    <w:p w14:paraId="59B21CAF" w14:textId="27C74668" w:rsidR="00B7029F" w:rsidRPr="00B7029F" w:rsidRDefault="00BF1B39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9</w:t>
      </w:r>
      <w:r w:rsidR="00B7029F"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0 – maksimalni broj bodova po ovom potkriterijumu.   </w:t>
      </w:r>
    </w:p>
    <w:p w14:paraId="21034C01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</w:p>
    <w:p w14:paraId="16878175" w14:textId="77777777" w:rsidR="00B7029F" w:rsidRPr="00B7029F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B702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lastRenderedPageBreak/>
        <w:t>Ako je ponuđena cijena 0,00 EUR-a, prilikom vrednovanja te cijene po podkriterijumu cijena uzima se da je ponuđena cijena 0,01 EUR.</w:t>
      </w:r>
    </w:p>
    <w:p w14:paraId="48332490" w14:textId="77777777" w:rsidR="00471B1A" w:rsidRDefault="00471B1A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6D0E7869" w14:textId="77777777" w:rsidR="00471B1A" w:rsidRPr="00B7029F" w:rsidRDefault="00471B1A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7F2AD900" w14:textId="77777777" w:rsidR="00B7029F" w:rsidRPr="00B7029F" w:rsidRDefault="00B7029F" w:rsidP="00B7029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Ponude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potkriterijumu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kvalitet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29D3CA1D" w14:textId="77777777" w:rsid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88AB85" w14:textId="078564E3" w:rsidR="008B04ED" w:rsidRPr="008B04ED" w:rsidRDefault="008B04ED" w:rsidP="008B04E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hr-HR"/>
        </w:rPr>
      </w:pPr>
      <w:bookmarkStart w:id="6" w:name="_GoBack"/>
      <w:r w:rsidRPr="008B04ED">
        <w:rPr>
          <w:rFonts w:ascii="Arial" w:eastAsia="Times New Roman" w:hAnsi="Arial" w:cs="Arial"/>
          <w:b/>
          <w:bCs/>
          <w:color w:val="000000"/>
          <w:sz w:val="24"/>
          <w:szCs w:val="24"/>
          <w:lang w:val="hr-HR"/>
        </w:rPr>
        <w:t xml:space="preserve">Rok isporuke: </w:t>
      </w:r>
      <w:r w:rsidRPr="008B04ED">
        <w:rPr>
          <w:rFonts w:ascii="Arial" w:eastAsia="Times New Roman" w:hAnsi="Arial" w:cs="Arial"/>
          <w:bCs/>
          <w:color w:val="000000"/>
          <w:sz w:val="24"/>
          <w:szCs w:val="24"/>
          <w:lang w:val="hr-HR"/>
        </w:rPr>
        <w:t xml:space="preserve">Isporuka će se vršiti sukcesivno po Zahtjevu Naručioca u roku od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hr-HR"/>
        </w:rPr>
        <w:t>maksimum 5</w:t>
      </w:r>
      <w:r w:rsidRPr="008B04ED">
        <w:rPr>
          <w:rFonts w:ascii="Arial" w:eastAsia="Times New Roman" w:hAnsi="Arial" w:cs="Arial"/>
          <w:bCs/>
          <w:color w:val="000000"/>
          <w:sz w:val="24"/>
          <w:szCs w:val="24"/>
          <w:lang w:val="hr-HR"/>
        </w:rPr>
        <w:t xml:space="preserve"> dana od dana upućivanja Zahtjeva Naručioca za svaku pojedinačnu isporuku.</w:t>
      </w:r>
    </w:p>
    <w:bookmarkEnd w:id="6"/>
    <w:p w14:paraId="6A28EBE0" w14:textId="77777777" w:rsidR="008B04ED" w:rsidRPr="008B04ED" w:rsidRDefault="008B04ED" w:rsidP="008B04E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hr-HR"/>
        </w:rPr>
      </w:pPr>
    </w:p>
    <w:p w14:paraId="3EEDD30E" w14:textId="77777777" w:rsidR="008B04ED" w:rsidRPr="008B04ED" w:rsidRDefault="008B04ED" w:rsidP="008B04E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hr-HR"/>
        </w:rPr>
      </w:pPr>
      <w:r w:rsidRPr="008B04ED">
        <w:rPr>
          <w:rFonts w:ascii="Arial" w:eastAsia="Times New Roman" w:hAnsi="Arial" w:cs="Arial"/>
          <w:bCs/>
          <w:color w:val="000000"/>
          <w:sz w:val="24"/>
          <w:szCs w:val="24"/>
          <w:lang w:val="hr-HR"/>
        </w:rPr>
        <w:t>Ponuđač koji ponudi najmanji rok isporuke dobija 10 bodova. Ostale ponude se boduju na način što se najmanji ponuđeni rok isporuke podijeli sa ponuđenim rokom isporuke i dobijeni količnik pomnoži sa 10.</w:t>
      </w:r>
    </w:p>
    <w:p w14:paraId="658E1F01" w14:textId="77777777" w:rsidR="00EF1869" w:rsidRPr="00EF1869" w:rsidRDefault="00EF1869" w:rsidP="00EF186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10AD41E" w14:textId="69F322B1" w:rsidR="00EF1869" w:rsidRPr="00B7029F" w:rsidRDefault="00EF1869" w:rsidP="00B7029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F1869">
        <w:rPr>
          <w:rFonts w:ascii="Arial" w:eastAsia="Times New Roman" w:hAnsi="Arial" w:cs="Arial"/>
          <w:bCs/>
          <w:color w:val="000000"/>
          <w:sz w:val="24"/>
          <w:szCs w:val="24"/>
        </w:rPr>
        <w:t>Ponuđač sa najvećim brojem bodova (C + K) će biti izabran kao prvorangirani.</w:t>
      </w:r>
    </w:p>
    <w:p w14:paraId="01FBFD7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7" w:name="_Toc62730560"/>
      <w:r w:rsidRPr="00EB1ECA">
        <w:rPr>
          <w:rFonts w:ascii="Arial" w:eastAsia="Times New Roman" w:hAnsi="Arial" w:cs="Arial"/>
          <w:b/>
          <w:sz w:val="24"/>
          <w:szCs w:val="24"/>
        </w:rPr>
        <w:t>JEZIK PONUDE</w:t>
      </w:r>
      <w:bookmarkEnd w:id="7"/>
    </w:p>
    <w:p w14:paraId="3B37027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655E7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14:paraId="73E64C5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01F14F" w14:textId="2F86DB7C" w:rsidR="005E2453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zakonom.</w:t>
      </w:r>
    </w:p>
    <w:p w14:paraId="42CD9C32" w14:textId="77777777" w:rsidR="003D3E36" w:rsidRPr="003D3E36" w:rsidRDefault="003D3E36" w:rsidP="003D3E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tehnički</w:t>
      </w:r>
      <w:proofErr w:type="spellEnd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listovi</w:t>
      </w:r>
      <w:proofErr w:type="spellEnd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mogu</w:t>
      </w:r>
      <w:proofErr w:type="spellEnd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dostaviti</w:t>
      </w:r>
      <w:proofErr w:type="spellEnd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engleskom</w:t>
      </w:r>
      <w:proofErr w:type="spellEnd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jeziku</w:t>
      </w:r>
      <w:proofErr w:type="spellEnd"/>
      <w:r w:rsidRPr="003D3E36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639EEF33" w14:textId="77777777" w:rsidR="00BF1B39" w:rsidRPr="005E2453" w:rsidRDefault="00BF1B39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BE7A418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8" w:name="_Toc62730561"/>
      <w:r w:rsidRPr="00EB1ECA">
        <w:rPr>
          <w:rFonts w:ascii="Arial" w:eastAsia="Times New Roman" w:hAnsi="Arial" w:cs="Arial"/>
          <w:b/>
          <w:sz w:val="24"/>
          <w:szCs w:val="24"/>
        </w:rPr>
        <w:t>NAČIN, MJESTO I VRIJEME PODNOŠENJA PONUDA I OTVARANJA PONUDA</w:t>
      </w:r>
      <w:bookmarkEnd w:id="8"/>
    </w:p>
    <w:p w14:paraId="208EF78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7B9A79E" w14:textId="1E5BCB7C" w:rsidR="00B7029F" w:rsidRPr="00BF1B39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zaključno sa danom </w:t>
      </w:r>
      <w:r w:rsidR="001C4016"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="004C500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1C4016">
        <w:rPr>
          <w:rFonts w:ascii="Arial" w:eastAsia="Times New Roman" w:hAnsi="Arial" w:cs="Arial"/>
          <w:color w:val="000000"/>
          <w:sz w:val="24"/>
          <w:szCs w:val="24"/>
        </w:rPr>
        <w:t>03.2026</w:t>
      </w:r>
      <w:r w:rsidRPr="00BF1B39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18602221" w14:textId="77777777" w:rsidR="00B7029F" w:rsidRPr="00BF1B39" w:rsidRDefault="00B7029F" w:rsidP="00B7029F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3B0A1BA3" w14:textId="363A85BA" w:rsidR="00B7029F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39">
        <w:rPr>
          <w:rFonts w:ascii="Arial" w:eastAsia="Times New Roman" w:hAnsi="Arial" w:cs="Arial"/>
          <w:color w:val="000000"/>
          <w:sz w:val="24"/>
          <w:szCs w:val="24"/>
        </w:rPr>
        <w:t xml:space="preserve">Otvaranje ponuda održaće se dana </w:t>
      </w:r>
      <w:r w:rsidR="001C4016" w:rsidRPr="001C4016">
        <w:rPr>
          <w:rFonts w:ascii="Arial" w:eastAsia="Times New Roman" w:hAnsi="Arial" w:cs="Arial"/>
          <w:color w:val="000000"/>
          <w:sz w:val="24"/>
          <w:szCs w:val="24"/>
        </w:rPr>
        <w:t>23.03.2026</w:t>
      </w:r>
      <w:r w:rsidRPr="00BF1B39">
        <w:rPr>
          <w:rFonts w:ascii="Arial" w:eastAsia="Times New Roman" w:hAnsi="Arial" w:cs="Arial"/>
          <w:color w:val="000000"/>
          <w:sz w:val="24"/>
          <w:szCs w:val="24"/>
        </w:rPr>
        <w:t>. godine u 10 sati.</w:t>
      </w:r>
      <w:r w:rsidRPr="00375D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43A620E" w14:textId="77777777" w:rsidR="00BC310C" w:rsidRPr="00BC310C" w:rsidRDefault="00BC310C" w:rsidP="00BC31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310C">
        <w:rPr>
          <w:rFonts w:ascii="Arial" w:eastAsia="Times New Roman" w:hAnsi="Arial" w:cs="Arial"/>
          <w:color w:val="000000"/>
          <w:sz w:val="24"/>
          <w:szCs w:val="24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1ED06F2E" w14:textId="77777777" w:rsidR="00BC310C" w:rsidRPr="00BC310C" w:rsidRDefault="00BC310C" w:rsidP="00BC31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46051D" w14:textId="77777777" w:rsidR="00BC310C" w:rsidRPr="00BC310C" w:rsidRDefault="00BC310C" w:rsidP="00BC31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310C">
        <w:rPr>
          <w:rFonts w:ascii="Arial" w:eastAsia="Times New Roman" w:hAnsi="Arial" w:cs="Arial"/>
          <w:color w:val="000000"/>
          <w:sz w:val="24"/>
          <w:szCs w:val="24"/>
        </w:rPr>
        <w:t xml:space="preserve">Adresa za dostavljanje Garancije ponude je: </w:t>
      </w:r>
    </w:p>
    <w:p w14:paraId="423EF55D" w14:textId="77777777" w:rsidR="00BC310C" w:rsidRPr="00BC310C" w:rsidRDefault="00BC310C" w:rsidP="00BC31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310C">
        <w:rPr>
          <w:rFonts w:ascii="Arial" w:eastAsia="Times New Roman" w:hAnsi="Arial" w:cs="Arial"/>
          <w:color w:val="000000"/>
          <w:sz w:val="24"/>
          <w:szCs w:val="24"/>
        </w:rPr>
        <w:t>•</w:t>
      </w:r>
      <w:r w:rsidRPr="00BC310C">
        <w:rPr>
          <w:rFonts w:ascii="Arial" w:eastAsia="Times New Roman" w:hAnsi="Arial" w:cs="Arial"/>
          <w:color w:val="000000"/>
          <w:sz w:val="24"/>
          <w:szCs w:val="24"/>
        </w:rPr>
        <w:tab/>
        <w:t>neposrednim podnošenjem na arhivi naručioca na adresi Ul. Vuka Karadžića broj 2, Nikšić;</w:t>
      </w:r>
    </w:p>
    <w:p w14:paraId="0457C3BC" w14:textId="77777777" w:rsidR="00BC310C" w:rsidRPr="00BC310C" w:rsidRDefault="00BC310C" w:rsidP="00BC31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310C">
        <w:rPr>
          <w:rFonts w:ascii="Arial" w:eastAsia="Times New Roman" w:hAnsi="Arial" w:cs="Arial"/>
          <w:color w:val="000000"/>
          <w:sz w:val="24"/>
          <w:szCs w:val="24"/>
        </w:rPr>
        <w:t>•</w:t>
      </w:r>
      <w:r w:rsidRPr="00BC310C">
        <w:rPr>
          <w:rFonts w:ascii="Arial" w:eastAsia="Times New Roman" w:hAnsi="Arial" w:cs="Arial"/>
          <w:color w:val="000000"/>
          <w:sz w:val="24"/>
          <w:szCs w:val="24"/>
        </w:rPr>
        <w:tab/>
        <w:t xml:space="preserve">preporučenom pošiljkom sa povratnicom na adresi Ul. Vuka Karadžića broj 2, Nikšić, s tim što Garancija ponude mora biti uručena od strane poštanskog operatora najkasnije do roka određenog za podnošenje ponude, </w:t>
      </w:r>
    </w:p>
    <w:p w14:paraId="35FCB9B2" w14:textId="2F6FFFBD" w:rsidR="00BC310C" w:rsidRPr="00BC310C" w:rsidRDefault="00BC310C" w:rsidP="00BC31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310C">
        <w:rPr>
          <w:rFonts w:ascii="Arial" w:eastAsia="Times New Roman" w:hAnsi="Arial" w:cs="Arial"/>
          <w:color w:val="000000"/>
          <w:sz w:val="24"/>
          <w:szCs w:val="24"/>
        </w:rPr>
        <w:t xml:space="preserve">radnim danima od 7 do 15 sati, zaključno sa danom </w:t>
      </w:r>
      <w:r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Pr="00BC310C">
        <w:rPr>
          <w:rFonts w:ascii="Arial" w:eastAsia="Times New Roman" w:hAnsi="Arial" w:cs="Arial"/>
          <w:color w:val="000000"/>
          <w:sz w:val="24"/>
          <w:szCs w:val="24"/>
        </w:rPr>
        <w:t>.03.2026. godine do 10 sati.</w:t>
      </w:r>
    </w:p>
    <w:p w14:paraId="3B6CB68F" w14:textId="77777777" w:rsidR="00BC310C" w:rsidRPr="00BC310C" w:rsidRDefault="00BC310C" w:rsidP="00BC31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9A35D4B" w14:textId="54A45E12" w:rsidR="00BC310C" w:rsidRDefault="00BC310C" w:rsidP="00BC31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310C">
        <w:rPr>
          <w:rFonts w:ascii="Arial" w:eastAsia="Times New Roman" w:hAnsi="Arial" w:cs="Arial"/>
          <w:color w:val="000000"/>
          <w:sz w:val="24"/>
          <w:szCs w:val="24"/>
        </w:rPr>
        <w:t xml:space="preserve">Napomena: Garancija ponude u pisanom obliku se dostavlja, u originalu, u posebnoj koverti na kojoj se navodi: naziv i sjedište Naručioca, broj tenderske dokumentacije za </w:t>
      </w:r>
      <w:r w:rsidRPr="00BC310C">
        <w:rPr>
          <w:rFonts w:ascii="Arial" w:eastAsia="Times New Roman" w:hAnsi="Arial" w:cs="Arial"/>
          <w:color w:val="000000"/>
          <w:sz w:val="24"/>
          <w:szCs w:val="24"/>
        </w:rPr>
        <w:lastRenderedPageBreak/>
        <w:t>koju se podnosi Garancija, naziv, sjedište i adresa Ponuđača i naznake "Garancija ponude" i "Ne otvaraj prije roka za otvaranje ponuda“.</w:t>
      </w:r>
    </w:p>
    <w:p w14:paraId="0DD31947" w14:textId="77777777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6169F59" w14:textId="77777777" w:rsidR="00EB1ECA" w:rsidRPr="00EB1ECA" w:rsidRDefault="00EB1ECA" w:rsidP="005B4E9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9" w:name="_Toc62730562"/>
      <w:r w:rsidRPr="00EB1ECA">
        <w:rPr>
          <w:rFonts w:ascii="Arial" w:eastAsia="Times New Roman" w:hAnsi="Arial" w:cs="Arial"/>
          <w:b/>
          <w:sz w:val="24"/>
          <w:szCs w:val="24"/>
        </w:rPr>
        <w:t>USLOVI ZA AKTIVIRANJE GARANCIJE PONUDE</w:t>
      </w:r>
      <w:r w:rsidRPr="00EB1ECA">
        <w:rPr>
          <w:rFonts w:ascii="Arial" w:eastAsia="Times New Roman" w:hAnsi="Arial" w:cs="Arial"/>
          <w:b/>
          <w:sz w:val="24"/>
          <w:szCs w:val="24"/>
          <w:vertAlign w:val="superscript"/>
        </w:rPr>
        <w:footnoteReference w:id="6"/>
      </w:r>
      <w:bookmarkEnd w:id="9"/>
    </w:p>
    <w:p w14:paraId="7CEBD22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DE909AF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14:paraId="70258CB6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1) odustane od ponude u roku važenja ponude i/ili</w:t>
      </w:r>
    </w:p>
    <w:p w14:paraId="6B9411FC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javnoj nabavci ili okvirni sporazum.</w:t>
      </w:r>
    </w:p>
    <w:p w14:paraId="2A82D1B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B4BD09" w14:textId="77777777" w:rsidR="00EB1ECA" w:rsidRPr="00EB1ECA" w:rsidRDefault="00EB1ECA" w:rsidP="00BB7B0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0" w:name="_Toc62730563"/>
      <w:r w:rsidRPr="00EB1ECA">
        <w:rPr>
          <w:rFonts w:ascii="Arial" w:eastAsia="Times New Roman" w:hAnsi="Arial" w:cs="Arial"/>
          <w:b/>
          <w:sz w:val="24"/>
          <w:szCs w:val="24"/>
        </w:rPr>
        <w:t>TAJNOST PODATAKA</w:t>
      </w:r>
      <w:bookmarkEnd w:id="10"/>
    </w:p>
    <w:p w14:paraId="6BC4F4C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DEEA54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14:paraId="474820F6" w14:textId="77777777" w:rsidR="00EB1ECA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35255ACE" w14:textId="77777777" w:rsidR="00EB1ECA" w:rsidRPr="00EB1ECA" w:rsidRDefault="00EB1ECA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14:paraId="751957B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1" w:name="_Toc62730564"/>
      <w:r w:rsidRPr="00EB1ECA">
        <w:rPr>
          <w:rFonts w:ascii="Arial" w:eastAsia="Times New Roman" w:hAnsi="Arial" w:cs="Arial"/>
          <w:b/>
          <w:sz w:val="24"/>
          <w:szCs w:val="24"/>
        </w:rPr>
        <w:t>UPUTSTVO ZA SAČINJAVANJE PONUDE</w:t>
      </w:r>
      <w:bookmarkEnd w:id="11"/>
    </w:p>
    <w:p w14:paraId="6847013D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07617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14:paraId="4132158D" w14:textId="77777777" w:rsidR="00EB1ECA" w:rsidRPr="00531F94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Ispunjenost uslova za učešće u postupku javne nabavke dokazuje se izjavom privrednog subjekta, koja se sačinjava na obrascu datom u Pravilniku o obrascu izjave privrednog subjekta.</w:t>
      </w:r>
    </w:p>
    <w:p w14:paraId="39719279" w14:textId="77777777" w:rsidR="00B7029F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0CF409" w14:textId="77777777" w:rsidR="00EB1ECA" w:rsidRDefault="00EB1ECA" w:rsidP="00EB1E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Ponuđač je dužan da tačno, potpuno, pravilno i nedvosmisleno popuni </w:t>
      </w:r>
      <w:r w:rsidRPr="00EB1ECA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14:paraId="6CFAF36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259ADF5" w14:textId="77777777" w:rsidR="00EB1ECA" w:rsidRPr="00EB1ECA" w:rsidRDefault="00EB1ECA" w:rsidP="00BD6AB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2" w:name="_Toc62730565"/>
      <w:r w:rsidRPr="00EB1ECA">
        <w:rPr>
          <w:rFonts w:ascii="Arial" w:eastAsia="Times New Roman" w:hAnsi="Arial" w:cs="Arial"/>
          <w:b/>
          <w:sz w:val="24"/>
          <w:szCs w:val="24"/>
        </w:rPr>
        <w:t>NAČIN ZAKLJUČIVANJA I IZMJENE UGOVORA O JAVNOJ NABAVCI</w:t>
      </w:r>
      <w:bookmarkEnd w:id="12"/>
    </w:p>
    <w:p w14:paraId="7573788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9E3BBD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0AB11F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5FCA66" w14:textId="37D2DF80" w:rsidR="00164B21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14:paraId="7C31C74E" w14:textId="77777777" w:rsidR="00B7029F" w:rsidRP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CB806C8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  <w:r w:rsidRPr="00531F94">
        <w:rPr>
          <w:rFonts w:ascii="Arial" w:eastAsia="PMingLiU" w:hAnsi="Arial" w:cs="Arial"/>
          <w:b/>
          <w:sz w:val="24"/>
          <w:szCs w:val="24"/>
          <w:lang w:val="sr-Latn-CS" w:eastAsia="zh-TW"/>
        </w:rPr>
        <w:t>RASKID UGOVORA</w:t>
      </w:r>
    </w:p>
    <w:p w14:paraId="5AE8DB7B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3238D9B2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4A045D9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pisanom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obavještenjem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otkaznim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(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petnaest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dana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drugoj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mora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biti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naznačeno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487B1E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međusobna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obaveze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proističu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04C1371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14:paraId="036B92CD" w14:textId="77777777" w:rsidR="00B7029F" w:rsidRPr="00531F94" w:rsidRDefault="00B7029F" w:rsidP="00B7029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lastRenderedPageBreak/>
        <w:t>Izvođač ne bude izvršavao svoje obaveze u rokovima i na način predviđenim Ugovorom;</w:t>
      </w:r>
    </w:p>
    <w:p w14:paraId="50EB7858" w14:textId="2B9C7318" w:rsidR="00B7029F" w:rsidRPr="00531F94" w:rsidRDefault="00B7029F" w:rsidP="004D4DA4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Nastupe okolnosti iz člana 150 ZJN (Sl.list CG br. </w:t>
      </w:r>
      <w:r w:rsidR="004D4DA4" w:rsidRPr="004D4DA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74/19, 3/23 i 11/23</w:t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).</w:t>
      </w:r>
    </w:p>
    <w:p w14:paraId="37B2B2C9" w14:textId="77777777" w:rsidR="003521E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predviđen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  </w:t>
      </w:r>
    </w:p>
    <w:p w14:paraId="3CE2CC2B" w14:textId="5D819CDD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</w:t>
      </w:r>
    </w:p>
    <w:p w14:paraId="63BF67E8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531F94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Antikorupcijsko pravilo i rješavanje sporova, zaključivanje i stupanje na snagu Ugovora</w:t>
      </w:r>
    </w:p>
    <w:p w14:paraId="41022AC3" w14:textId="77777777" w:rsidR="00B7029F" w:rsidRPr="00531F94" w:rsidRDefault="00B7029F" w:rsidP="00B7029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0B2F61D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14:paraId="33CA521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73BD4C3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Sve eventualne sporove koji nastanu u vezi Ugovora ugovorne strane će rješavati sporazumno, a ako to ne bude moguće za rješavanje istih nadležan je Privredni sud Crne Gore.</w:t>
      </w:r>
    </w:p>
    <w:p w14:paraId="4022F6B0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185E83B3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nabavci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kršenje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antikorupcijskog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važećeg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ništavan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je.</w:t>
      </w:r>
    </w:p>
    <w:p w14:paraId="7CEF219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CE9C86B" w14:textId="71DC068A" w:rsid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stupa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snagu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potpisivanja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ovjere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="000F09C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50AE02FD" w14:textId="77777777" w:rsidR="00492BCE" w:rsidRPr="00EB1ECA" w:rsidRDefault="00492BCE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2FBAB439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3" w:name="_Toc62730566"/>
      <w:r w:rsidRPr="00EB1ECA">
        <w:rPr>
          <w:rFonts w:ascii="Arial" w:eastAsia="Times New Roman" w:hAnsi="Arial" w:cs="Arial"/>
          <w:b/>
          <w:sz w:val="24"/>
          <w:szCs w:val="24"/>
        </w:rPr>
        <w:t>ZAHTJEV ZA POJAŠNJENJE ILI IZMJENU I DOPUNU TENDERSKE DOKUMENTACIJE</w:t>
      </w:r>
      <w:bookmarkEnd w:id="13"/>
    </w:p>
    <w:p w14:paraId="28A0B238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E1DB12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6E9E1B6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8D29E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</w:p>
    <w:p w14:paraId="3C8DA92F" w14:textId="77777777" w:rsid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Zahtjev se podnosi isključivo putem ESJN-a.</w:t>
      </w:r>
    </w:p>
    <w:p w14:paraId="20F3DD03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A48B1B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7CE0D7C" w14:textId="77777777" w:rsidR="00EF1869" w:rsidRDefault="00EF186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E64A27F" w14:textId="77777777" w:rsidR="00EF1869" w:rsidRDefault="00EF186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5BAA4C0" w14:textId="77777777" w:rsidR="00EF1869" w:rsidRDefault="00EF186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44F1F96" w14:textId="77777777" w:rsidR="00EF1869" w:rsidRDefault="00EF186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A7B7C0E" w14:textId="77777777" w:rsidR="00EF1869" w:rsidRDefault="00EF186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2697ED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29F48BF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B6A5B8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0077FC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07C701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76A3DA4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E2F4F3" w14:textId="77777777" w:rsidR="000F09C9" w:rsidRPr="00EB1ECA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4B7BEB" w14:textId="286F9F51" w:rsidR="00C26910" w:rsidRDefault="00FB54B3" w:rsidP="00EB1ECA">
      <w:pPr>
        <w:spacing w:after="0" w:line="240" w:lineRule="auto"/>
        <w:jc w:val="both"/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</w:pPr>
      <w:r w:rsidRPr="00FB54B3">
        <w:rPr>
          <w:rFonts w:ascii="Arial" w:eastAsia="PMingLiU" w:hAnsi="Arial" w:cs="Arial"/>
          <w:iCs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10787E00" wp14:editId="3BE6EF96">
            <wp:extent cx="5760720" cy="81436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DE885" w14:textId="77777777" w:rsidR="00C26910" w:rsidRPr="00531F94" w:rsidRDefault="00C2691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14EE63E" w14:textId="77777777" w:rsid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805B04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830910F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A398F71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D40B539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6751702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00969E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29F2501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E5B9000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9B01468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30BD3C4" w14:textId="77777777" w:rsidR="00BF1B39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FB3743" w14:textId="77777777" w:rsidR="00824ECE" w:rsidRDefault="00824ECE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D84022B" w14:textId="77777777" w:rsidR="00824ECE" w:rsidRDefault="00824ECE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0AB5CB2" w14:textId="77777777" w:rsidR="00BF1B39" w:rsidRPr="00EB1ECA" w:rsidRDefault="00BF1B39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AE3AD0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70E4B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bookmarkStart w:id="14" w:name="_Toc62730568"/>
      <w:r w:rsidRPr="00EB1ECA">
        <w:rPr>
          <w:rFonts w:ascii="Arial" w:eastAsia="Times New Roman" w:hAnsi="Arial" w:cs="Arial"/>
          <w:b/>
          <w:sz w:val="24"/>
          <w:szCs w:val="24"/>
        </w:rPr>
        <w:t>UPUTSTVO O PRAVNOM SREDSTVU</w:t>
      </w:r>
      <w:bookmarkEnd w:id="14"/>
    </w:p>
    <w:p w14:paraId="4502ADC0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2D068D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Privredni subjekat može da izjavi žalbu protiv ove tenderske dokumentacije Komisiji za zaštitu prava</w:t>
      </w: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14:paraId="605365AF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1)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30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7A70D964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2)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deset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5650C3F8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3) do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polovine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a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posljednji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dan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24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časa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da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ističe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istekom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tog dana.</w:t>
      </w:r>
    </w:p>
    <w:p w14:paraId="737AD7A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AF5A30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14:paraId="4423B27D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833117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BFF045D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5748C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14:paraId="5C904187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9945EC" w14:textId="7CEF786D" w:rsidR="00B51F53" w:rsidRPr="00FB54B3" w:rsidRDefault="00EB1ECA" w:rsidP="00FB54B3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9" w:history="1">
        <w:r w:rsidRPr="00531F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="00FB54B3">
        <w:rPr>
          <w:rFonts w:ascii="Arial" w:eastAsia="Times New Roman" w:hAnsi="Arial" w:cs="Arial"/>
          <w:color w:val="000000"/>
          <w:sz w:val="24"/>
          <w:szCs w:val="24"/>
        </w:rPr>
        <w:t>.“</w:t>
      </w:r>
    </w:p>
    <w:sectPr w:rsidR="00B51F53" w:rsidRPr="00FB54B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D91B2" w14:textId="77777777" w:rsidR="000B5AD6" w:rsidRDefault="000B5AD6" w:rsidP="00EB1ECA">
      <w:pPr>
        <w:spacing w:after="0" w:line="240" w:lineRule="auto"/>
      </w:pPr>
      <w:r>
        <w:separator/>
      </w:r>
    </w:p>
  </w:endnote>
  <w:endnote w:type="continuationSeparator" w:id="0">
    <w:p w14:paraId="78781D7F" w14:textId="77777777" w:rsidR="000B5AD6" w:rsidRDefault="000B5AD6" w:rsidP="00EB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096" w14:textId="77777777" w:rsidR="00D336FA" w:rsidRPr="00EB1ECA" w:rsidRDefault="00D336F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PAGE 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807066">
      <w:rPr>
        <w:rFonts w:ascii="Arial" w:hAnsi="Arial" w:cs="Arial"/>
        <w:noProof/>
        <w:color w:val="323E4F" w:themeColor="text2" w:themeShade="BF"/>
      </w:rPr>
      <w:t>4</w:t>
    </w:r>
    <w:r w:rsidRPr="00EB1ECA">
      <w:rPr>
        <w:rFonts w:ascii="Arial" w:hAnsi="Arial" w:cs="Arial"/>
        <w:color w:val="323E4F" w:themeColor="text2" w:themeShade="BF"/>
      </w:rPr>
      <w:fldChar w:fldCharType="end"/>
    </w:r>
    <w:r w:rsidRPr="00EB1ECA">
      <w:rPr>
        <w:rFonts w:ascii="Arial" w:hAnsi="Arial" w:cs="Arial"/>
        <w:color w:val="323E4F" w:themeColor="text2" w:themeShade="BF"/>
      </w:rPr>
      <w:t xml:space="preserve"> | </w:t>
    </w: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NUMPAGES  \* Arabic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807066">
      <w:rPr>
        <w:rFonts w:ascii="Arial" w:hAnsi="Arial" w:cs="Arial"/>
        <w:noProof/>
        <w:color w:val="323E4F" w:themeColor="text2" w:themeShade="BF"/>
      </w:rPr>
      <w:t>9</w:t>
    </w:r>
    <w:r w:rsidRPr="00EB1ECA">
      <w:rPr>
        <w:rFonts w:ascii="Arial" w:hAnsi="Arial" w:cs="Arial"/>
        <w:color w:val="323E4F" w:themeColor="text2" w:themeShade="BF"/>
      </w:rPr>
      <w:fldChar w:fldCharType="end"/>
    </w:r>
  </w:p>
  <w:p w14:paraId="73E0C8B5" w14:textId="77777777" w:rsidR="00D336FA" w:rsidRDefault="00D33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20250" w14:textId="77777777" w:rsidR="000B5AD6" w:rsidRDefault="000B5AD6" w:rsidP="00EB1ECA">
      <w:pPr>
        <w:spacing w:after="0" w:line="240" w:lineRule="auto"/>
      </w:pPr>
      <w:r>
        <w:separator/>
      </w:r>
    </w:p>
  </w:footnote>
  <w:footnote w:type="continuationSeparator" w:id="0">
    <w:p w14:paraId="48380B1E" w14:textId="77777777" w:rsidR="000B5AD6" w:rsidRDefault="000B5AD6" w:rsidP="00EB1ECA">
      <w:pPr>
        <w:spacing w:after="0" w:line="240" w:lineRule="auto"/>
      </w:pPr>
      <w:r>
        <w:continuationSeparator/>
      </w:r>
    </w:p>
  </w:footnote>
  <w:footnote w:id="1">
    <w:p w14:paraId="459D2027" w14:textId="77777777" w:rsidR="00D336FA" w:rsidRPr="007F2BA0" w:rsidRDefault="00D336F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37E7633E" w14:textId="77777777" w:rsidR="00D336FA" w:rsidRPr="007F2BA0" w:rsidRDefault="00D336F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2D70AA7" w14:textId="77777777" w:rsidR="00D336FA" w:rsidRPr="007F2BA0" w:rsidRDefault="00D336F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EC08D4C" w14:textId="77777777" w:rsidR="00D336FA" w:rsidRPr="00367536" w:rsidRDefault="00D336F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5">
    <w:p w14:paraId="3BEE8F33" w14:textId="77777777" w:rsidR="00D336FA" w:rsidRPr="0083641C" w:rsidRDefault="00D336F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6">
    <w:p w14:paraId="49F87556" w14:textId="77777777" w:rsidR="00D336FA" w:rsidRPr="007F2BA0" w:rsidRDefault="00D336FA" w:rsidP="00EB1ECA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E17A4"/>
    <w:multiLevelType w:val="hybridMultilevel"/>
    <w:tmpl w:val="F6D27BE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1D0E"/>
    <w:multiLevelType w:val="hybridMultilevel"/>
    <w:tmpl w:val="E4A8BB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31455"/>
    <w:multiLevelType w:val="hybridMultilevel"/>
    <w:tmpl w:val="C026ED4A"/>
    <w:lvl w:ilvl="0" w:tplc="247A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653472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6182798"/>
    <w:multiLevelType w:val="hybridMultilevel"/>
    <w:tmpl w:val="A1B87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92AB2"/>
    <w:multiLevelType w:val="hybridMultilevel"/>
    <w:tmpl w:val="961079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61FEE"/>
    <w:multiLevelType w:val="hybridMultilevel"/>
    <w:tmpl w:val="2E9EEB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14A50"/>
    <w:multiLevelType w:val="hybridMultilevel"/>
    <w:tmpl w:val="374EF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D82220"/>
    <w:multiLevelType w:val="hybridMultilevel"/>
    <w:tmpl w:val="D4BCDFA8"/>
    <w:lvl w:ilvl="0" w:tplc="7B10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19"/>
  </w:num>
  <w:num w:numId="6">
    <w:abstractNumId w:val="17"/>
  </w:num>
  <w:num w:numId="7">
    <w:abstractNumId w:val="9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18"/>
  </w:num>
  <w:num w:numId="13">
    <w:abstractNumId w:val="20"/>
  </w:num>
  <w:num w:numId="14">
    <w:abstractNumId w:val="1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2"/>
    <w:rsid w:val="00054FF8"/>
    <w:rsid w:val="00067EF2"/>
    <w:rsid w:val="000951EC"/>
    <w:rsid w:val="000A1E1A"/>
    <w:rsid w:val="000A28A7"/>
    <w:rsid w:val="000B17B1"/>
    <w:rsid w:val="000B5AD6"/>
    <w:rsid w:val="000E067E"/>
    <w:rsid w:val="000F09C9"/>
    <w:rsid w:val="00164B21"/>
    <w:rsid w:val="001843B3"/>
    <w:rsid w:val="0019078B"/>
    <w:rsid w:val="00196A2D"/>
    <w:rsid w:val="001B1DE4"/>
    <w:rsid w:val="001C4016"/>
    <w:rsid w:val="001D45D0"/>
    <w:rsid w:val="00200DDB"/>
    <w:rsid w:val="00231A75"/>
    <w:rsid w:val="002D040A"/>
    <w:rsid w:val="00301AD0"/>
    <w:rsid w:val="00306D25"/>
    <w:rsid w:val="003521EA"/>
    <w:rsid w:val="00375D12"/>
    <w:rsid w:val="00386908"/>
    <w:rsid w:val="003C7629"/>
    <w:rsid w:val="003D3E36"/>
    <w:rsid w:val="003F1BA9"/>
    <w:rsid w:val="0044383E"/>
    <w:rsid w:val="00471B1A"/>
    <w:rsid w:val="00485515"/>
    <w:rsid w:val="00492BCE"/>
    <w:rsid w:val="004C500D"/>
    <w:rsid w:val="004D4DA4"/>
    <w:rsid w:val="004E7F75"/>
    <w:rsid w:val="0050726A"/>
    <w:rsid w:val="00531F94"/>
    <w:rsid w:val="0054107C"/>
    <w:rsid w:val="00554DD6"/>
    <w:rsid w:val="00597B9D"/>
    <w:rsid w:val="005B4E98"/>
    <w:rsid w:val="005C5C1D"/>
    <w:rsid w:val="005D3B0A"/>
    <w:rsid w:val="005E2453"/>
    <w:rsid w:val="00602D02"/>
    <w:rsid w:val="00681596"/>
    <w:rsid w:val="006B11BA"/>
    <w:rsid w:val="006D12D8"/>
    <w:rsid w:val="006F3396"/>
    <w:rsid w:val="00717A9E"/>
    <w:rsid w:val="00740EBA"/>
    <w:rsid w:val="00766F84"/>
    <w:rsid w:val="007C0DFE"/>
    <w:rsid w:val="00807066"/>
    <w:rsid w:val="00810C58"/>
    <w:rsid w:val="00820423"/>
    <w:rsid w:val="00824ECE"/>
    <w:rsid w:val="00831392"/>
    <w:rsid w:val="00846E03"/>
    <w:rsid w:val="00866DFE"/>
    <w:rsid w:val="00876B29"/>
    <w:rsid w:val="0088012D"/>
    <w:rsid w:val="008A0A7D"/>
    <w:rsid w:val="008B04ED"/>
    <w:rsid w:val="008B2DD6"/>
    <w:rsid w:val="008C0840"/>
    <w:rsid w:val="008E518F"/>
    <w:rsid w:val="00921FE6"/>
    <w:rsid w:val="00935D23"/>
    <w:rsid w:val="009465E2"/>
    <w:rsid w:val="0098578E"/>
    <w:rsid w:val="009E530B"/>
    <w:rsid w:val="00AA65D1"/>
    <w:rsid w:val="00AD13C5"/>
    <w:rsid w:val="00AF14C6"/>
    <w:rsid w:val="00B02C9E"/>
    <w:rsid w:val="00B17EB4"/>
    <w:rsid w:val="00B40306"/>
    <w:rsid w:val="00B51F53"/>
    <w:rsid w:val="00B53E40"/>
    <w:rsid w:val="00B7029F"/>
    <w:rsid w:val="00B706BE"/>
    <w:rsid w:val="00B87492"/>
    <w:rsid w:val="00BB5C40"/>
    <w:rsid w:val="00BB7B03"/>
    <w:rsid w:val="00BC04FB"/>
    <w:rsid w:val="00BC310C"/>
    <w:rsid w:val="00BD6AB9"/>
    <w:rsid w:val="00BF1B39"/>
    <w:rsid w:val="00C115CE"/>
    <w:rsid w:val="00C155CA"/>
    <w:rsid w:val="00C26910"/>
    <w:rsid w:val="00C31DAD"/>
    <w:rsid w:val="00C33F89"/>
    <w:rsid w:val="00C65185"/>
    <w:rsid w:val="00C77125"/>
    <w:rsid w:val="00CA004E"/>
    <w:rsid w:val="00D24A82"/>
    <w:rsid w:val="00D27B4D"/>
    <w:rsid w:val="00D336FA"/>
    <w:rsid w:val="00D60E00"/>
    <w:rsid w:val="00D95AA4"/>
    <w:rsid w:val="00DB13B1"/>
    <w:rsid w:val="00DC477A"/>
    <w:rsid w:val="00DC5E0F"/>
    <w:rsid w:val="00DD0635"/>
    <w:rsid w:val="00DE4204"/>
    <w:rsid w:val="00DE7D30"/>
    <w:rsid w:val="00DF51BF"/>
    <w:rsid w:val="00E300EE"/>
    <w:rsid w:val="00E82AE5"/>
    <w:rsid w:val="00EB1ECA"/>
    <w:rsid w:val="00ED4920"/>
    <w:rsid w:val="00EF1869"/>
    <w:rsid w:val="00F24DB6"/>
    <w:rsid w:val="00F4556A"/>
    <w:rsid w:val="00F57B54"/>
    <w:rsid w:val="00F817AA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76B"/>
  <w15:chartTrackingRefBased/>
  <w15:docId w15:val="{DF0E00FC-03C0-4D4A-AADC-D88C417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B1E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1EC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B1E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CA"/>
  </w:style>
  <w:style w:type="paragraph" w:styleId="Footer">
    <w:name w:val="footer"/>
    <w:basedOn w:val="Normal"/>
    <w:link w:val="Foot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CA"/>
  </w:style>
  <w:style w:type="character" w:styleId="Hyperlink">
    <w:name w:val="Hyperlink"/>
    <w:basedOn w:val="DefaultParagraphFont"/>
    <w:uiPriority w:val="99"/>
    <w:unhideWhenUsed/>
    <w:rsid w:val="00B706BE"/>
    <w:rPr>
      <w:color w:val="0563C1" w:themeColor="hyperlink"/>
      <w:u w:val="single"/>
    </w:rPr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CA004E"/>
    <w:pPr>
      <w:overflowPunct w:val="0"/>
      <w:autoSpaceDE w:val="0"/>
      <w:autoSpaceDN w:val="0"/>
      <w:adjustRightInd w:val="0"/>
      <w:spacing w:after="240" w:line="38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5B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99"/>
    <w:locked/>
    <w:rsid w:val="000B17B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ntrola-nabavk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75CD-B739-4E17-BFAE-1DE0D5C9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Kilibarda</dc:creator>
  <cp:keywords/>
  <dc:description/>
  <cp:lastModifiedBy>Sanja Musikic</cp:lastModifiedBy>
  <cp:revision>74</cp:revision>
  <dcterms:created xsi:type="dcterms:W3CDTF">2023-03-01T11:50:00Z</dcterms:created>
  <dcterms:modified xsi:type="dcterms:W3CDTF">2026-03-06T08:50:00Z</dcterms:modified>
</cp:coreProperties>
</file>