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F34D" w14:textId="77777777" w:rsidR="00EB1ECA" w:rsidRPr="00EB1ECA" w:rsidRDefault="00EB1ECA" w:rsidP="00EB1EC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6AC4C93C" w14:textId="77777777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pl-PL"/>
        </w:rPr>
        <w:t>Elektroprivreda Crne Gore AD Nikšić</w:t>
      </w:r>
    </w:p>
    <w:p w14:paraId="1A68E1BC" w14:textId="31D0AAEA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it-IT"/>
        </w:rPr>
        <w:t>Broj iz eviden</w:t>
      </w:r>
      <w:r w:rsidR="00196A2D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cije postupaka javnih nabavki: </w:t>
      </w:r>
      <w:r w:rsidR="001051C6">
        <w:rPr>
          <w:rFonts w:ascii="Arial" w:eastAsia="Times New Roman" w:hAnsi="Arial" w:cs="Arial"/>
          <w:color w:val="000000"/>
          <w:sz w:val="24"/>
          <w:szCs w:val="24"/>
          <w:lang w:val="it-IT"/>
        </w:rPr>
        <w:t>37/26</w:t>
      </w:r>
    </w:p>
    <w:p w14:paraId="7E76EB22" w14:textId="70669C54" w:rsidR="00545A06" w:rsidRDefault="00EB1ECA" w:rsidP="00545A0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Redni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broj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iz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Plana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javnih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nabavki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: </w:t>
      </w:r>
      <w:r w:rsidR="001051C6">
        <w:rPr>
          <w:rFonts w:ascii="Arial" w:eastAsia="Times New Roman" w:hAnsi="Arial" w:cs="Arial"/>
          <w:color w:val="000000"/>
          <w:sz w:val="24"/>
          <w:szCs w:val="24"/>
          <w:lang w:val="en-GB"/>
        </w:rPr>
        <w:t>437</w:t>
      </w:r>
    </w:p>
    <w:p w14:paraId="1462204B" w14:textId="4B9A3E8C" w:rsidR="00EB1ECA" w:rsidRPr="00EB1ECA" w:rsidRDefault="00EB1ECA" w:rsidP="00545A06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Mjesto i </w:t>
      </w:r>
      <w:r w:rsidRPr="000B17B1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datum: Nikšić, </w:t>
      </w:r>
      <w:r w:rsidR="001051C6">
        <w:rPr>
          <w:rFonts w:ascii="Arial" w:eastAsia="Times New Roman" w:hAnsi="Arial" w:cs="Arial"/>
          <w:color w:val="000000"/>
          <w:sz w:val="24"/>
          <w:szCs w:val="24"/>
          <w:lang w:val="it-IT"/>
        </w:rPr>
        <w:t>06.03.2026</w:t>
      </w:r>
      <w:r w:rsidRPr="000B17B1">
        <w:rPr>
          <w:rFonts w:ascii="Arial" w:eastAsia="Times New Roman" w:hAnsi="Arial" w:cs="Arial"/>
          <w:color w:val="000000"/>
          <w:sz w:val="24"/>
          <w:szCs w:val="24"/>
          <w:lang w:val="it-IT"/>
        </w:rPr>
        <w:t>. godine</w:t>
      </w:r>
    </w:p>
    <w:p w14:paraId="137D9A7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9B8A11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0C88E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ED5192" w14:textId="38704514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Na osnovu člana 53 stav 3 Zakona o javnim nabavkama </w:t>
      </w:r>
      <w:r w:rsidR="001051C6" w:rsidRPr="001051C6">
        <w:rPr>
          <w:rFonts w:ascii="Arial" w:eastAsia="Times New Roman" w:hAnsi="Arial" w:cs="Arial"/>
          <w:sz w:val="24"/>
          <w:szCs w:val="24"/>
        </w:rPr>
        <w:t>(„Službeni list CG”, br.</w:t>
      </w:r>
      <w:r w:rsidR="001051C6">
        <w:rPr>
          <w:rFonts w:ascii="Arial" w:eastAsia="Times New Roman" w:hAnsi="Arial" w:cs="Arial"/>
          <w:sz w:val="24"/>
          <w:szCs w:val="24"/>
        </w:rPr>
        <w:t xml:space="preserve"> 74/19, 003/23, 011/23 i 84/24)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Elektroprivreda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Crne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Gore AD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Nikšić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objavljuje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14:paraId="385F42DA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9485EE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E2C20C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33AFDE2" w14:textId="77777777" w:rsidR="00EB1ECA" w:rsidRPr="00531F94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92A916E" w14:textId="77777777" w:rsidR="00531F94" w:rsidRPr="00EB1ECA" w:rsidRDefault="00531F94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11A09FF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B1E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14:paraId="5EFE37BA" w14:textId="77777777" w:rsidR="00EB1ECA" w:rsidRPr="00EB1ECA" w:rsidRDefault="00EB1ECA" w:rsidP="00EB1EC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ACCE56" w14:textId="77777777" w:rsidR="00EB1ECA" w:rsidRPr="00EB1ECA" w:rsidRDefault="00EB1ECA" w:rsidP="00EB1E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TENDERSKU DOKUMENTACIJU</w:t>
      </w:r>
    </w:p>
    <w:p w14:paraId="55749088" w14:textId="77777777" w:rsidR="00EB1ECA" w:rsidRPr="00EB1ECA" w:rsidRDefault="00EB1ECA" w:rsidP="008A0A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ZA OTVORENI POSTUPAK JAVNE NABAVKE</w:t>
      </w:r>
    </w:p>
    <w:p w14:paraId="494B703F" w14:textId="6B9F6B4B" w:rsidR="00C5138C" w:rsidRDefault="00C5138C" w:rsidP="00C513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usluga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14:paraId="0ED806DE" w14:textId="77777777" w:rsidR="00C5138C" w:rsidRDefault="00C5138C" w:rsidP="00C513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87291C8" w14:textId="49F46429" w:rsidR="00531F94" w:rsidRDefault="00DD7E3A" w:rsidP="00C513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Eks</w:t>
      </w:r>
      <w:r w:rsidR="00EA5ADC">
        <w:rPr>
          <w:rFonts w:ascii="Arial" w:eastAsia="Times New Roman" w:hAnsi="Arial" w:cs="Arial"/>
          <w:color w:val="000000"/>
          <w:sz w:val="24"/>
          <w:szCs w:val="24"/>
          <w:lang w:val="en-US"/>
        </w:rPr>
        <w:t>terna</w:t>
      </w:r>
      <w:proofErr w:type="spellEnd"/>
      <w:r w:rsidR="00EA5AD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A5ADC">
        <w:rPr>
          <w:rFonts w:ascii="Arial" w:eastAsia="Times New Roman" w:hAnsi="Arial" w:cs="Arial"/>
          <w:color w:val="000000"/>
          <w:sz w:val="24"/>
          <w:szCs w:val="24"/>
          <w:lang w:val="en-US"/>
        </w:rPr>
        <w:t>usluga</w:t>
      </w:r>
      <w:proofErr w:type="spellEnd"/>
      <w:r w:rsidR="00EA5AD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A5ADC">
        <w:rPr>
          <w:rFonts w:ascii="Arial" w:eastAsia="Times New Roman" w:hAnsi="Arial" w:cs="Arial"/>
          <w:color w:val="000000"/>
          <w:sz w:val="24"/>
          <w:szCs w:val="24"/>
          <w:lang w:val="en-US"/>
        </w:rPr>
        <w:t>čišćenja</w:t>
      </w:r>
      <w:proofErr w:type="spellEnd"/>
      <w:r w:rsidR="00EA5AD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A5ADC">
        <w:rPr>
          <w:rFonts w:ascii="Arial" w:eastAsia="Times New Roman" w:hAnsi="Arial" w:cs="Arial"/>
          <w:color w:val="000000"/>
          <w:sz w:val="24"/>
          <w:szCs w:val="24"/>
          <w:lang w:val="en-US"/>
        </w:rPr>
        <w:t>objekata</w:t>
      </w:r>
      <w:proofErr w:type="spellEnd"/>
      <w:r w:rsidR="00EA5AD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EPCG AD</w:t>
      </w:r>
      <w:r w:rsidR="00C5138C" w:rsidRPr="00C5138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14:paraId="536AF525" w14:textId="77777777" w:rsidR="00C5138C" w:rsidRPr="00EB1ECA" w:rsidRDefault="00C5138C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4F78D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14:paraId="79DB285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1D7BD7F" w14:textId="77777777" w:rsidR="00D142FC" w:rsidRPr="00531F94" w:rsidRDefault="00D142FC" w:rsidP="00D142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kao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cjelina</w:t>
      </w:r>
      <w:proofErr w:type="spellEnd"/>
    </w:p>
    <w:p w14:paraId="0BEDB901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DF057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E1CFF2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F33A5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125473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3EC41A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F5EAE5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4117AC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36226F" w14:textId="77777777" w:rsid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8E54A6" w14:textId="77777777" w:rsidR="003E575D" w:rsidRPr="00EB1ECA" w:rsidRDefault="003E575D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D3ED6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46F2EB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E1CFD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EEC32C" w14:textId="77777777" w:rsid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77C8015" w14:textId="77777777" w:rsidR="00545A06" w:rsidRPr="00EB1ECA" w:rsidRDefault="00545A06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C2299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DE0523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77DB2B" w14:textId="77777777" w:rsidR="00EB1ECA" w:rsidRPr="00EB1ECA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Toc62730553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POZIV ZA NADMETANJE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1"/>
      </w:r>
      <w:bookmarkEnd w:id="0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201FD717" w14:textId="77777777" w:rsidR="00EB1ECA" w:rsidRPr="00EB1ECA" w:rsidRDefault="00EB1ECA" w:rsidP="00CA00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08B585D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14:paraId="7CC99470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14:paraId="5C5096C8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14:paraId="1AB55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14:paraId="393FA56A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 w:rsidRPr="00EB1ECA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EB1ECA"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59B993DF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14:paraId="3F6AACFA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Cjelina, po partijama,</w:t>
      </w:r>
    </w:p>
    <w:p w14:paraId="7A7AB9ED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Zajednička nabavka,</w:t>
      </w:r>
    </w:p>
    <w:p w14:paraId="513BA166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Centralizovana nabavka,</w:t>
      </w:r>
    </w:p>
    <w:p w14:paraId="77AB99E5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14:paraId="0D3BF036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14:paraId="4F7B1192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14:paraId="3F5DF298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14:paraId="123081EB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14:paraId="69F4DFE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14:paraId="723E57FD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14:paraId="5CC27227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14:paraId="2AA23C14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14:paraId="2CE79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14:paraId="4B010DA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14:paraId="02756E6D" w14:textId="77777777" w:rsidR="00EB1ECA" w:rsidRPr="00EB1ECA" w:rsidRDefault="00EB1ECA" w:rsidP="00EB1E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E1A0C42" w14:textId="77777777" w:rsidR="00EB1ECA" w:rsidRPr="00CA004E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4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3"/>
      </w:r>
      <w:bookmarkEnd w:id="1"/>
    </w:p>
    <w:p w14:paraId="785536D0" w14:textId="77777777" w:rsidR="00EB1ECA" w:rsidRPr="00EB1ECA" w:rsidRDefault="00EB1ECA" w:rsidP="00EB1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Naziv i opis predmeta nabavke u cjelini, po partijama i stavkama sa bitnim karakteristikama</w:t>
      </w:r>
    </w:p>
    <w:p w14:paraId="5EAE6BDF" w14:textId="6B48F6CC" w:rsidR="00545A06" w:rsidRPr="00FD05F6" w:rsidRDefault="00EB1ECA" w:rsidP="00545A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Zahtjevi u pogledu načina izvršavanja predmeta nabavke koji su od značaja za sačinjavanje ponude i </w:t>
      </w:r>
      <w:r w:rsidRPr="00FD05F6">
        <w:rPr>
          <w:rFonts w:ascii="Arial" w:eastAsia="Calibri" w:hAnsi="Arial" w:cs="Arial"/>
          <w:color w:val="000000"/>
          <w:sz w:val="24"/>
          <w:szCs w:val="24"/>
        </w:rPr>
        <w:t>izvršenje ugovora</w:t>
      </w:r>
    </w:p>
    <w:p w14:paraId="646D3CF3" w14:textId="77777777" w:rsidR="00545A06" w:rsidRPr="00FD05F6" w:rsidRDefault="00545A06" w:rsidP="00545A06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noProof/>
          <w:color w:val="000000"/>
          <w:sz w:val="24"/>
          <w:szCs w:val="32"/>
        </w:rPr>
      </w:pPr>
      <w:r w:rsidRPr="00FD05F6">
        <w:rPr>
          <w:rFonts w:ascii="Arial" w:eastAsia="Times New Roman" w:hAnsi="Arial" w:cs="Times New Roman"/>
          <w:b/>
          <w:noProof/>
          <w:color w:val="000000"/>
          <w:sz w:val="24"/>
          <w:szCs w:val="32"/>
        </w:rPr>
        <w:t>Bitne napomene za sačinjavanje Finansijskog dijela ponude:</w:t>
      </w:r>
    </w:p>
    <w:p w14:paraId="22778823" w14:textId="7FE00187" w:rsidR="00545A06" w:rsidRDefault="00545A06" w:rsidP="00CA00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</w:p>
    <w:p w14:paraId="78004309" w14:textId="77777777" w:rsidR="00D252B0" w:rsidRPr="00D252B0" w:rsidRDefault="00D252B0" w:rsidP="00D252B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</w:pP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Kategorija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održavanje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higijene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podrazumijeva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usisavanje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odstranjivanje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>š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nečistoće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vrsta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proofErr w:type="gram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sa</w:t>
      </w:r>
      <w:proofErr w:type="spellEnd"/>
      <w:proofErr w:type="gram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djelova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enterijera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način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vrijeme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kada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se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neće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ometati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normalni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proces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rada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objektima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Naručioca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navedenim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tehničkoj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specifikaciji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.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Održavanje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higijene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obuhvata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sljedeće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poslove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: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usisavanje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prašine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tepiha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itisona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brisanje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mermernih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keramičkih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PVC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podova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stepeništa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>,</w:t>
      </w:r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kao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parketa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vlažnim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mopom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uz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glancanje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istih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metenje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odnošenje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otpadaka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čišćenje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ulaznog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mermernog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stepeništa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brisanje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prašine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radnih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stolova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pultova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sl.;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čišćenje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prozora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postavljanje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zavjesa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lokacijama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gdje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Izvršilac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obavlja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usluge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čišćenja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bez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učešća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osoblja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Naručioca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brisanje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–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otklanjanje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prašine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plakara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ormara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ili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komoda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uredjaja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sl.,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kao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stolica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fotelja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;</w:t>
      </w:r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brisanje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vrata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brava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kvaka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;</w:t>
      </w:r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čišćenje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sanitarnih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čvorova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(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sanitarije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slavine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zidne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podne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obloge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)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uz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upotrebu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hemijskih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sredstava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predvidjenih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vrstu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čišćenja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brisanje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ogledala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staklenih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površina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koji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izloženi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dodirivanju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a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naročito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ulaznih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vrata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brisanje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telefonskih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aparata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garnitura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brisanje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gelendera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rukohvata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iznošenje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smeća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;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lastRenderedPageBreak/>
        <w:t>postavljanje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mijenjanje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 xml:space="preserve">potrošnog materijala za opremanje toaleta (toaletni papir, ubrusi, tečni sapun), odnosno sredstava za ličnu higijenu, koja obezbjeđuje Naručilac. </w:t>
      </w:r>
    </w:p>
    <w:p w14:paraId="77A9DE87" w14:textId="77777777" w:rsidR="00D252B0" w:rsidRPr="00D252B0" w:rsidRDefault="00D252B0" w:rsidP="00D252B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</w:pPr>
    </w:p>
    <w:p w14:paraId="4ACADC60" w14:textId="77777777" w:rsidR="00D252B0" w:rsidRPr="00D252B0" w:rsidRDefault="00D252B0" w:rsidP="00D252B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</w:pPr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 xml:space="preserve">Kategorija „AD HOCK čišćenje“ podrazumjeva angažovanje radnika u slučajevima povećanog obima posla, čišćenja nakon adaptacija poslovnih prostorija EPCG, bolovanja, godišnjih odmora i drugih vrsta odsustva sa posla stalno zaposlenih kod EPCG i dr. kada Naručilac obezbjeđuje potrošni materijal i sredstva za rad. </w:t>
      </w:r>
    </w:p>
    <w:p w14:paraId="6375281D" w14:textId="77777777" w:rsidR="00D252B0" w:rsidRPr="00D252B0" w:rsidRDefault="00D252B0" w:rsidP="00D252B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</w:pPr>
    </w:p>
    <w:p w14:paraId="2090C730" w14:textId="77777777" w:rsidR="00D252B0" w:rsidRPr="00D252B0" w:rsidRDefault="00D252B0" w:rsidP="00D252B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Pobrojane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potrebe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stavkama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svih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pozicija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ovoj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specifikaciji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podrazumijevaju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nabavku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usluga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održavanja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higijene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prema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utvrđenim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površinama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ili</w:t>
      </w:r>
      <w:proofErr w:type="spellEnd"/>
      <w:proofErr w:type="gram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satima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odnosno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da se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kao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jedinica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mjere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uzima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m2 (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jedan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metar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kvadratni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)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h (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jedan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radni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sat).</w:t>
      </w:r>
    </w:p>
    <w:p w14:paraId="6D36506E" w14:textId="77777777" w:rsidR="00D252B0" w:rsidRPr="00D252B0" w:rsidRDefault="00D252B0" w:rsidP="00D252B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B87D8D" w14:textId="77777777" w:rsidR="00D252B0" w:rsidRPr="00D252B0" w:rsidRDefault="00D252B0" w:rsidP="00D252B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sredstva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upotrijebljena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procesu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  <w:t xml:space="preserve">čišćenja i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održavanja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higijene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ne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smiju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biti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proofErr w:type="gram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</w:t>
      </w:r>
      <w:proofErr w:type="spellEnd"/>
      <w:proofErr w:type="gram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bilo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koji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način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škodljiva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zdravlje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ljudi</w:t>
      </w:r>
      <w:proofErr w:type="spellEnd"/>
      <w:r w:rsidRPr="00D252B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.   </w:t>
      </w:r>
    </w:p>
    <w:p w14:paraId="0D00EFE8" w14:textId="77777777" w:rsidR="00D252B0" w:rsidRPr="00CA004E" w:rsidRDefault="00D252B0" w:rsidP="00CA00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</w:p>
    <w:p w14:paraId="5F2ED10D" w14:textId="77777777" w:rsidR="008A0A7D" w:rsidRPr="00531F94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216CA46" w14:textId="77777777" w:rsidR="00EB1ECA" w:rsidRPr="00EB1ECA" w:rsidRDefault="00EB1ECA" w:rsidP="008A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4"/>
      </w:r>
    </w:p>
    <w:p w14:paraId="389D8DE3" w14:textId="28E809E4" w:rsidR="00545A06" w:rsidRPr="00531F94" w:rsidRDefault="00D142FC" w:rsidP="00D142FC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n-US"/>
        </w:rPr>
      </w:pPr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Procijenjena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vrijednost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predmeta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nabavke</w:t>
      </w:r>
      <w:proofErr w:type="spellEnd"/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r w:rsidR="001051C6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285.556</w:t>
      </w:r>
      <w:r w:rsidR="003E575D" w:rsidRPr="003E575D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,00 </w:t>
      </w:r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€.</w:t>
      </w:r>
    </w:p>
    <w:p w14:paraId="5ED0ECA6" w14:textId="77777777" w:rsidR="00B11724" w:rsidRPr="00EB1ECA" w:rsidRDefault="00B11724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B8781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ZAKLJUČIVANJE OKVIRNOG SPORAZUMA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5"/>
      </w:r>
    </w:p>
    <w:p w14:paraId="36E324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D539F45" w14:textId="6B01F303" w:rsidR="00EB1ECA" w:rsidRPr="00EB1ECA" w:rsidRDefault="00EB1ECA" w:rsidP="00FD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14:paraId="7C11EAE9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66DEC7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14:paraId="5215B34D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646A69C" w14:textId="44D4A6D0" w:rsidR="00EB1ECA" w:rsidRPr="00EB1ECA" w:rsidRDefault="00EB1ECA" w:rsidP="00FD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ZAKLJUČUJU ZAJEDNIČKU NABAVKU</w:t>
      </w:r>
    </w:p>
    <w:p w14:paraId="52CFF61B" w14:textId="2D10429E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Nije primjenjivo.</w:t>
      </w:r>
    </w:p>
    <w:p w14:paraId="0F213E7B" w14:textId="77777777" w:rsidR="00EB1ECA" w:rsidRPr="00EB1ECA" w:rsidRDefault="00EB1ECA" w:rsidP="00EB1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SU UKLJUČENI U CENTRALIZOVANU NABAVKU</w:t>
      </w:r>
    </w:p>
    <w:p w14:paraId="0966B1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C3ADC1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1F94">
        <w:rPr>
          <w:rFonts w:ascii="Arial" w:eastAsia="Times New Roman" w:hAnsi="Arial" w:cs="Arial"/>
          <w:sz w:val="24"/>
          <w:szCs w:val="24"/>
        </w:rPr>
        <w:t>Nije primjenjivo.</w:t>
      </w:r>
      <w:r w:rsidR="00EB1ECA" w:rsidRPr="00EB1EC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D9F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1A46C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NAČIN SPROVOĐENJA ELEKTRONSKE AUKCIJE</w:t>
      </w:r>
    </w:p>
    <w:p w14:paraId="6A19752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FB8DF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  <w:r w:rsidR="00EB1ECA" w:rsidRPr="00EB1ECA">
        <w:rPr>
          <w:rFonts w:ascii="Arial" w:eastAsia="Times New Roman" w:hAnsi="Arial" w:cs="Arial"/>
          <w:color w:val="222A35"/>
          <w:sz w:val="24"/>
          <w:szCs w:val="24"/>
        </w:rPr>
        <w:t xml:space="preserve">. </w:t>
      </w:r>
    </w:p>
    <w:p w14:paraId="095438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CD9A9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ELEKTRONSKI KATALOG</w:t>
      </w:r>
      <w:r w:rsidRPr="00EB1E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4537202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ED87604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</w:p>
    <w:p w14:paraId="0134641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F0FB9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14:paraId="24F1521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E5EC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14:paraId="07A3702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2DCF7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14:paraId="4579C106" w14:textId="631D9A37" w:rsidR="00EB1ECA" w:rsidRPr="004B3ADC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14:paraId="6AEED26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REZERVISANA NABAVKA</w:t>
      </w:r>
    </w:p>
    <w:p w14:paraId="6709C3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7CAB82B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Da</w:t>
      </w:r>
    </w:p>
    <w:p w14:paraId="5AC1D435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8F6E4AC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2" w:name="_Toc62730556"/>
      <w:r w:rsidRPr="00EB1ECA">
        <w:rPr>
          <w:rFonts w:ascii="Arial" w:eastAsia="Times New Roman" w:hAnsi="Arial" w:cs="Arial"/>
          <w:b/>
          <w:sz w:val="24"/>
          <w:szCs w:val="24"/>
        </w:rPr>
        <w:t>NAČIN UTVRĐIVANJA EKVIVALENTNOSTI</w:t>
      </w:r>
      <w:bookmarkEnd w:id="2"/>
    </w:p>
    <w:p w14:paraId="12AF782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5248A290" w14:textId="31AF097E" w:rsidR="00B17EB4" w:rsidRPr="00C155CA" w:rsidRDefault="00831392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Nije </w:t>
      </w:r>
      <w:r w:rsidRPr="00831392">
        <w:rPr>
          <w:rFonts w:ascii="Arial" w:eastAsia="Times New Roman" w:hAnsi="Arial" w:cs="Arial"/>
          <w:bCs/>
          <w:color w:val="000000"/>
          <w:sz w:val="24"/>
          <w:szCs w:val="24"/>
        </w:rPr>
        <w:t>primjenjivo</w:t>
      </w:r>
      <w:r w:rsidR="00C155CA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6B6C417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3" w:name="_Toc62730557"/>
      <w:r w:rsidRPr="00EB1ECA">
        <w:rPr>
          <w:rFonts w:ascii="Arial" w:eastAsia="Times New Roman" w:hAnsi="Arial" w:cs="Arial"/>
          <w:b/>
          <w:sz w:val="24"/>
          <w:szCs w:val="24"/>
        </w:rPr>
        <w:t>OSNOVI ZA OBAVEZNO ISKLJUČENJE IZ POSTUPKA JAVNE NABAVKE</w:t>
      </w:r>
      <w:bookmarkEnd w:id="3"/>
    </w:p>
    <w:p w14:paraId="3318539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4A935A" w14:textId="77777777" w:rsidR="00EB1ECA" w:rsidRPr="00EB1ECA" w:rsidRDefault="00EB1ECA" w:rsidP="00D60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14:paraId="1303CDF2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4" w:name="_Toc62730558"/>
      <w:r w:rsidRPr="00EB1ECA">
        <w:rPr>
          <w:rFonts w:ascii="Arial" w:eastAsia="Times New Roman" w:hAnsi="Arial" w:cs="Arial"/>
          <w:sz w:val="24"/>
          <w:szCs w:val="24"/>
        </w:rPr>
        <w:t>je vršio neprimjeren uticaj u smislu člana 38 stav 2 tačka 1 ovog zakona;</w:t>
      </w:r>
    </w:p>
    <w:p w14:paraId="1400861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sukob interesa iz člana 41 stav 1 tačka 2 ili člana 42 ovog zakona;</w:t>
      </w:r>
    </w:p>
    <w:p w14:paraId="7326187E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14:paraId="178693A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14:paraId="20DC686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429F2538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razlog na osnovu kojeg se smatra da je odustao od prijave, odnosno ponude, a koji je propisan članom 120 stav 15 ovog zakona;</w:t>
      </w:r>
    </w:p>
    <w:p w14:paraId="6E63A657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FF13F01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14:paraId="650AFCA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SREDSTVA FINANSIJSKOG OBEZBJEĐENJA UGOVORA O JAVNOJ NABAVCI</w:t>
      </w:r>
      <w:bookmarkEnd w:id="4"/>
    </w:p>
    <w:p w14:paraId="718C67A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613A99" w14:textId="118DE355" w:rsidR="00B7029F" w:rsidRPr="00492BCE" w:rsidRDefault="005E2453" w:rsidP="005E24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029F" w:rsidRPr="00531F94">
        <w:rPr>
          <w:rFonts w:ascii="Arial" w:eastAsia="Times New Roman" w:hAnsi="Arial" w:cs="Arial"/>
          <w:color w:val="000000"/>
          <w:sz w:val="24"/>
          <w:szCs w:val="24"/>
        </w:rPr>
        <w:t>Ponuđač čija ponuda bude izabrana kao najpovoljnija je dužan da uz potpisan ugovor o j</w:t>
      </w:r>
      <w:r>
        <w:rPr>
          <w:rFonts w:ascii="Arial" w:eastAsia="Times New Roman" w:hAnsi="Arial" w:cs="Arial"/>
          <w:color w:val="000000"/>
          <w:sz w:val="24"/>
          <w:szCs w:val="24"/>
        </w:rPr>
        <w:t>avnoj nabavci dostavi Naručiocu G</w:t>
      </w:r>
      <w:r w:rsidR="00B7029F" w:rsidRPr="00492BCE">
        <w:rPr>
          <w:rFonts w:ascii="Arial" w:eastAsia="Times New Roman" w:hAnsi="Arial" w:cs="Arial"/>
          <w:color w:val="000000"/>
          <w:sz w:val="24"/>
          <w:szCs w:val="24"/>
        </w:rPr>
        <w:t>aranciju za dobro izvršenje ugovora za slučaj povrede ugovorenih obaveza u iznosu</w:t>
      </w:r>
      <w:r w:rsidR="000B17B1" w:rsidRPr="00492BCE">
        <w:rPr>
          <w:rFonts w:ascii="Arial" w:eastAsia="Times New Roman" w:hAnsi="Arial" w:cs="Arial"/>
          <w:color w:val="000000"/>
          <w:sz w:val="24"/>
          <w:szCs w:val="24"/>
        </w:rPr>
        <w:t xml:space="preserve"> od 10 % od vrijednosti ugovora.</w:t>
      </w:r>
    </w:p>
    <w:p w14:paraId="13A1037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5" w:name="_Toc62730559"/>
      <w:r w:rsidRPr="00EB1ECA">
        <w:rPr>
          <w:rFonts w:ascii="Arial" w:eastAsia="Times New Roman" w:hAnsi="Arial" w:cs="Arial"/>
          <w:b/>
          <w:sz w:val="24"/>
          <w:szCs w:val="24"/>
        </w:rPr>
        <w:t>METODOLOGIJA VREDNOVANJA PONUDA</w:t>
      </w:r>
      <w:bookmarkEnd w:id="5"/>
    </w:p>
    <w:p w14:paraId="230F902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19F56C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Naru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>č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ilac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7029F">
        <w:rPr>
          <w:rFonts w:ascii="Arial" w:eastAsia="Times New Roman" w:hAnsi="Arial" w:cs="Arial"/>
          <w:sz w:val="24"/>
          <w:szCs w:val="24"/>
        </w:rPr>
        <w:t>ć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gram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nabavki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izabrati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ekonomski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najpovoljniju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ponudu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primjenom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pristupa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isplativosti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kriterijuma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9E8EE2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41CD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7029F">
        <w:rPr>
          <w:rFonts w:ascii="Arial" w:eastAsia="Times New Roman" w:hAnsi="Arial" w:cs="Arial"/>
          <w:sz w:val="24"/>
          <w:szCs w:val="24"/>
          <w:lang w:val="en-US"/>
        </w:rPr>
        <w:t>odnos</w:t>
      </w:r>
      <w:proofErr w:type="spellEnd"/>
      <w:proofErr w:type="gram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cijene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kvaliteta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0D23394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B116A58" w14:textId="77777777" w:rsidR="00B7029F" w:rsidRPr="00B7029F" w:rsidRDefault="00B7029F" w:rsidP="00B7029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Ponude po potkriterijumu cijena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06296094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7C6ACBFD" w14:textId="1A1DED3F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Maksimalan broj bodova po ovom potkriterijumu je </w:t>
      </w:r>
      <w:r w:rsidR="00D7001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8</w:t>
      </w:r>
      <w:r w:rsidR="00D27B4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0</w:t>
      </w:r>
    </w:p>
    <w:p w14:paraId="2820B6A4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</w:p>
    <w:p w14:paraId="0A0B67E8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Broj 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 xml:space="preserve">bodova po potkriterijumu cijena 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odre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đ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uje se po formuli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>:</w:t>
      </w:r>
    </w:p>
    <w:p w14:paraId="729DD6D7" w14:textId="2A34D098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=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(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/C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)</w:t>
      </w:r>
      <w:r w:rsidR="00D7001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x8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0</w:t>
      </w:r>
    </w:p>
    <w:p w14:paraId="2C47F2B6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  <w:t>gdje je:</w:t>
      </w:r>
    </w:p>
    <w:p w14:paraId="5F370CA7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 – broj bodova za ponuđenu cijenu,</w:t>
      </w:r>
    </w:p>
    <w:p w14:paraId="5DED4905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lastRenderedPageBreak/>
        <w:t xml:space="preserve">         C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najniža ponuđena cijena,</w:t>
      </w:r>
    </w:p>
    <w:p w14:paraId="7317234C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 ponuđena cijena,</w:t>
      </w:r>
    </w:p>
    <w:p w14:paraId="59B21CAF" w14:textId="0F13BEF9" w:rsidR="00B7029F" w:rsidRPr="00B7029F" w:rsidRDefault="00D70019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8</w:t>
      </w:r>
      <w:r w:rsidR="00B7029F"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0 – maksimalni broj bodova po ovom potkriterijumu.   </w:t>
      </w:r>
    </w:p>
    <w:p w14:paraId="21034C01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</w:p>
    <w:p w14:paraId="16878175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Ako je ponuđena cijena 0,00 EUR-a, prilikom vrednovanja te cijene po podkriterijumu cijena uzima se da je ponuđena cijena 0,01 EUR.</w:t>
      </w:r>
    </w:p>
    <w:p w14:paraId="3C82C0CA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7F2AD900" w14:textId="77777777" w:rsidR="00B7029F" w:rsidRPr="00B7029F" w:rsidRDefault="00B7029F" w:rsidP="00B7029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Ponude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potkriterijumu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kvalitet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29D3CA1D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141207" w14:textId="318301A8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D110DB">
        <w:rPr>
          <w:rFonts w:ascii="Arial" w:eastAsia="Times New Roman" w:hAnsi="Arial" w:cs="Arial"/>
          <w:bCs/>
          <w:color w:val="000000"/>
          <w:sz w:val="24"/>
          <w:szCs w:val="24"/>
          <w:lang w:val="sr-Cyrl-CS"/>
        </w:rPr>
        <w:t xml:space="preserve">Maksimalan broj bodova po ovom podkriterijumu je </w:t>
      </w:r>
      <w:r w:rsidR="00D7001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2</w:t>
      </w:r>
      <w:r w:rsidRPr="00D110D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0</w:t>
      </w:r>
    </w:p>
    <w:p w14:paraId="7A0452DB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D110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  </w:t>
      </w:r>
    </w:p>
    <w:p w14:paraId="12EBA43B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Princip vrednovanja ponuda po osnovu parametra kvalitet koji se odnosi na kvalifikacije i iskustvo glavnog koordinatora – supervizora koji će organizovati, koordinisati i nadgledati pružanje usluga na svim lokacijama.</w:t>
      </w:r>
    </w:p>
    <w:p w14:paraId="7508366F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571D39B5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Ponude se vrednuju po osnovu parametra kvalitet na osnovu podataka o kvalifikacijama i iskustvu glavnog koordinatora – supervizora koji će organizovati, koordinisati i nadgledati pružanje usluga na svim lokacijama.</w:t>
      </w:r>
    </w:p>
    <w:p w14:paraId="173BB87C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69213DD1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Ponuđač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dokazuje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parametar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kvalitet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na</w:t>
      </w:r>
      <w:proofErr w:type="spellEnd"/>
      <w:proofErr w:type="gram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način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što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dostavlja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potvrde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korisnika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usluga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kojima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potvrđuje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da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glavni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koordinator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supervizor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ima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kvalifikacije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iskustvo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svojstvu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glavnog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koordinatora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supervizora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na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istim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ili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sličnim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poslovima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koji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su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predmet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javne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nabavke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14:paraId="3B4D73C9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255FBF56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Potvrda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izdata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od</w:t>
      </w:r>
      <w:proofErr w:type="spellEnd"/>
      <w:proofErr w:type="gram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strane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investitora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odnosno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korisnika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pruženim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uslugama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tokom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prethodnih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godina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ali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ne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duže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od pet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godina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računajući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godinu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kojoj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započet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postupak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javne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nabavke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, mora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sadržati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opis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usluga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koje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pružilo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stručno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lice,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vrijeme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realizacije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ugovora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konstataciju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da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su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usluge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kvalitetno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blagovremeno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pružene</w:t>
      </w:r>
      <w:proofErr w:type="spellEnd"/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653C0D7F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4BDEB760" w14:textId="2C683210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Pod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istim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sličnim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poslovima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podrazumijeva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usluga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čišćenja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poslovnih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objekata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minimalnom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površinom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ukupno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5000m²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minimum 5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različitih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lokacija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ukupne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vrijednosti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godiš</w:t>
      </w:r>
      <w:r w:rsidR="00667DF0">
        <w:rPr>
          <w:rFonts w:ascii="Arial" w:eastAsia="Times New Roman" w:hAnsi="Arial" w:cs="Arial"/>
          <w:sz w:val="24"/>
          <w:szCs w:val="24"/>
          <w:lang w:val="en-US"/>
        </w:rPr>
        <w:t>njeg</w:t>
      </w:r>
      <w:proofErr w:type="spellEnd"/>
      <w:r w:rsidR="00667D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667DF0">
        <w:rPr>
          <w:rFonts w:ascii="Arial" w:eastAsia="Times New Roman" w:hAnsi="Arial" w:cs="Arial"/>
          <w:sz w:val="24"/>
          <w:szCs w:val="24"/>
          <w:lang w:val="en-US"/>
        </w:rPr>
        <w:t>ugovora</w:t>
      </w:r>
      <w:proofErr w:type="spellEnd"/>
      <w:r w:rsidR="00667DF0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667DF0">
        <w:rPr>
          <w:rFonts w:ascii="Arial" w:eastAsia="Times New Roman" w:hAnsi="Arial" w:cs="Arial"/>
          <w:sz w:val="24"/>
          <w:szCs w:val="24"/>
          <w:lang w:val="en-US"/>
        </w:rPr>
        <w:t>iznosu</w:t>
      </w:r>
      <w:proofErr w:type="spellEnd"/>
      <w:r w:rsidR="00667DF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667DF0">
        <w:rPr>
          <w:rFonts w:ascii="Arial" w:eastAsia="Times New Roman" w:hAnsi="Arial" w:cs="Arial"/>
          <w:sz w:val="24"/>
          <w:szCs w:val="24"/>
          <w:lang w:val="en-US"/>
        </w:rPr>
        <w:t>većem</w:t>
      </w:r>
      <w:proofErr w:type="spellEnd"/>
      <w:r w:rsidR="00667DF0">
        <w:rPr>
          <w:rFonts w:ascii="Arial" w:eastAsia="Times New Roman" w:hAnsi="Arial" w:cs="Arial"/>
          <w:sz w:val="24"/>
          <w:szCs w:val="24"/>
          <w:lang w:val="en-US"/>
        </w:rPr>
        <w:t xml:space="preserve"> od </w:t>
      </w:r>
      <w:r w:rsidR="001051C6">
        <w:rPr>
          <w:rFonts w:ascii="Arial" w:eastAsia="Times New Roman" w:hAnsi="Arial" w:cs="Arial"/>
          <w:sz w:val="24"/>
          <w:szCs w:val="24"/>
          <w:lang w:val="en-US"/>
        </w:rPr>
        <w:t>120</w:t>
      </w:r>
      <w:r w:rsidRPr="00D110DB">
        <w:rPr>
          <w:rFonts w:ascii="Arial" w:eastAsia="Times New Roman" w:hAnsi="Arial" w:cs="Arial"/>
          <w:sz w:val="24"/>
          <w:szCs w:val="24"/>
          <w:lang w:val="en-US"/>
        </w:rPr>
        <w:t>.000</w:t>
      </w:r>
      <w:r w:rsidR="001051C6">
        <w:rPr>
          <w:rFonts w:ascii="Arial" w:eastAsia="Times New Roman" w:hAnsi="Arial" w:cs="Arial"/>
          <w:sz w:val="24"/>
          <w:szCs w:val="24"/>
          <w:lang w:val="en-US"/>
        </w:rPr>
        <w:t>,00</w:t>
      </w:r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€ bez </w:t>
      </w:r>
      <w:proofErr w:type="spellStart"/>
      <w:r w:rsidRPr="00D110DB">
        <w:rPr>
          <w:rFonts w:ascii="Arial" w:eastAsia="Times New Roman" w:hAnsi="Arial" w:cs="Arial"/>
          <w:sz w:val="24"/>
          <w:szCs w:val="24"/>
          <w:lang w:val="en-US"/>
        </w:rPr>
        <w:t>uračunatog</w:t>
      </w:r>
      <w:proofErr w:type="spellEnd"/>
      <w:r w:rsidRPr="00D110DB">
        <w:rPr>
          <w:rFonts w:ascii="Arial" w:eastAsia="Times New Roman" w:hAnsi="Arial" w:cs="Arial"/>
          <w:sz w:val="24"/>
          <w:szCs w:val="24"/>
          <w:lang w:val="en-US"/>
        </w:rPr>
        <w:t xml:space="preserve"> PDV-a.</w:t>
      </w:r>
    </w:p>
    <w:p w14:paraId="3A2DA97A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04CB91BA" w14:textId="77777777" w:rsidR="00DD7E3A" w:rsidRPr="006C7C07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Ukupan</w:t>
      </w:r>
      <w:proofErr w:type="spellEnd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broj</w:t>
      </w:r>
      <w:proofErr w:type="spellEnd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bodova</w:t>
      </w:r>
      <w:proofErr w:type="spellEnd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određuje</w:t>
      </w:r>
      <w:proofErr w:type="spellEnd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po</w:t>
      </w:r>
      <w:proofErr w:type="spellEnd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sljedećoj</w:t>
      </w:r>
      <w:proofErr w:type="spellEnd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formuli</w:t>
      </w:r>
      <w:proofErr w:type="spellEnd"/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10A24F56" w14:textId="7239422A" w:rsidR="00DD7E3A" w:rsidRPr="006C7C07" w:rsidRDefault="00DD7E3A" w:rsidP="00DD7E3A">
      <w:pPr>
        <w:spacing w:after="0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hr-HR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FFFFFF"/>
              <w:lang w:val="hr-HR"/>
            </w:rPr>
            <m:t xml:space="preserve">Broj bodova </m:t>
          </m:r>
          <m:d>
            <m:dPr>
              <m:ctrlPr>
                <w:rPr>
                  <w:rFonts w:ascii="Cambria Math" w:eastAsia="Times New Roman" w:hAnsi="Cambria Math" w:cs="Arial"/>
                  <w:b/>
                  <w:color w:val="000000"/>
                  <w:sz w:val="24"/>
                  <w:szCs w:val="24"/>
                  <w:shd w:val="clear" w:color="auto" w:fill="FFFFFF"/>
                  <w:lang w:val="hr-HR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val="hr-H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FFFFFF"/>
                      <w:lang w:val="hr-HR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FFFFFF"/>
                      <w:lang w:val="hr-HR"/>
                    </w:rPr>
                    <m:t>P</m:t>
                  </m:r>
                </m:sub>
              </m:sSub>
            </m:e>
          </m:d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FFFFFF"/>
              <w:lang w:val="hr-HR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 w:val="24"/>
                  <w:szCs w:val="24"/>
                  <w:shd w:val="clear" w:color="auto" w:fill="FFFFFF"/>
                  <w:lang w:val="hr-H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  <w:lang w:val="hr-HR"/>
                </w:rPr>
                <m:t xml:space="preserve">broj potvrđenih referenci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  <w:lang w:val="hr-HR"/>
                </w:rPr>
                <m:t xml:space="preserve">najveći broj potvr. refer. </m:t>
              </m:r>
            </m:den>
          </m:f>
          <m:r>
            <w:rPr>
              <w:rFonts w:ascii="Cambria Math" w:hAnsi="Cambria Math"/>
              <w:color w:val="000000"/>
              <w:sz w:val="24"/>
              <w:szCs w:val="24"/>
              <w:shd w:val="clear" w:color="auto" w:fill="FFFFFF"/>
              <w:lang w:val="hr-HR"/>
            </w:rPr>
            <m:t xml:space="preserve">×20 </m:t>
          </m:r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  <w:shd w:val="clear" w:color="auto" w:fill="FFFFFF"/>
              <w:lang w:val="hr-HR"/>
            </w:rPr>
            <m:t>bodova</m:t>
          </m:r>
        </m:oMath>
      </m:oMathPara>
    </w:p>
    <w:p w14:paraId="3DCA43A6" w14:textId="77777777" w:rsidR="00DD7E3A" w:rsidRDefault="00DD7E3A" w:rsidP="00DD7E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shd w:val="clear" w:color="auto" w:fill="FFFFFF"/>
          <w:lang w:val="sr-Latn-CS"/>
        </w:rPr>
      </w:pPr>
    </w:p>
    <w:p w14:paraId="139213FE" w14:textId="77777777" w:rsidR="00DD7E3A" w:rsidRPr="00D110DB" w:rsidRDefault="00DD7E3A" w:rsidP="00DD7E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shd w:val="clear" w:color="auto" w:fill="FFFFFF"/>
          <w:lang w:val="sr-Latn-CS"/>
        </w:rPr>
      </w:pPr>
    </w:p>
    <w:p w14:paraId="6615C532" w14:textId="77777777" w:rsidR="00DD7E3A" w:rsidRPr="00D110DB" w:rsidRDefault="00DD7E3A" w:rsidP="00DD7E3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sr-Latn-CS"/>
        </w:rPr>
      </w:pPr>
      <w:r w:rsidRPr="006C7C0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sr-Latn-CS"/>
        </w:rPr>
        <w:t>Ponuđač može angažovati najviše jednog glavnog koordinatora – supervizora koji će</w:t>
      </w:r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sr-Latn-CS"/>
        </w:rPr>
        <w:t xml:space="preserve"> organizovati, koordinisati i nadgledati pružanje usluga na svim lokacijama.</w:t>
      </w:r>
    </w:p>
    <w:p w14:paraId="6C3B0BC4" w14:textId="77777777" w:rsidR="00DD7E3A" w:rsidRPr="00D110DB" w:rsidRDefault="00DD7E3A" w:rsidP="00DD7E3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4EED55A8" w14:textId="303F6107" w:rsidR="00EB1ECA" w:rsidRPr="00D27B4D" w:rsidRDefault="00DD7E3A" w:rsidP="00DD7E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D110D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Ponuđač sa najvećim brojem bodova (C + K) će biti izabran kao prvorangirani</w:t>
      </w:r>
      <w:r w:rsidR="00375D12" w:rsidRPr="00375D12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01FBFD7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6" w:name="_Toc62730560"/>
      <w:r w:rsidRPr="00EB1ECA">
        <w:rPr>
          <w:rFonts w:ascii="Arial" w:eastAsia="Times New Roman" w:hAnsi="Arial" w:cs="Arial"/>
          <w:b/>
          <w:sz w:val="24"/>
          <w:szCs w:val="24"/>
        </w:rPr>
        <w:t>JEZIK PONUDE</w:t>
      </w:r>
      <w:bookmarkEnd w:id="6"/>
    </w:p>
    <w:p w14:paraId="3B37027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655E7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14:paraId="73E64C5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B5AE2A" w14:textId="0A1B42D3" w:rsidR="00492BCE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zakonom.</w:t>
      </w:r>
    </w:p>
    <w:p w14:paraId="7B01F14F" w14:textId="77777777" w:rsidR="005E2453" w:rsidRPr="005E2453" w:rsidRDefault="005E2453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BE7A418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7" w:name="_Toc62730561"/>
      <w:r w:rsidRPr="00EB1ECA">
        <w:rPr>
          <w:rFonts w:ascii="Arial" w:eastAsia="Times New Roman" w:hAnsi="Arial" w:cs="Arial"/>
          <w:b/>
          <w:sz w:val="24"/>
          <w:szCs w:val="24"/>
        </w:rPr>
        <w:t>NAČIN, MJESTO I VRIJEME PODNOŠENJA PONUDA I OTVARANJA PONUDA</w:t>
      </w:r>
      <w:bookmarkEnd w:id="7"/>
    </w:p>
    <w:p w14:paraId="208EF78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01BC645" w14:textId="346ED605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C7">
        <w:rPr>
          <w:rFonts w:ascii="Arial" w:eastAsia="Times New Roman" w:hAnsi="Arial" w:cs="Arial"/>
          <w:color w:val="000000"/>
          <w:sz w:val="24"/>
          <w:szCs w:val="24"/>
        </w:rPr>
        <w:t>Ponude se podnose p</w:t>
      </w:r>
      <w:r w:rsidR="009C3688">
        <w:rPr>
          <w:rFonts w:ascii="Arial" w:eastAsia="Times New Roman" w:hAnsi="Arial" w:cs="Arial"/>
          <w:color w:val="000000"/>
          <w:sz w:val="24"/>
          <w:szCs w:val="24"/>
        </w:rPr>
        <w:t xml:space="preserve">reko ESJN-a zaključno sa danom </w:t>
      </w:r>
      <w:r w:rsidR="001051C6">
        <w:rPr>
          <w:rFonts w:ascii="Arial" w:eastAsia="Times New Roman" w:hAnsi="Arial" w:cs="Arial"/>
          <w:color w:val="000000"/>
          <w:sz w:val="24"/>
          <w:szCs w:val="24"/>
        </w:rPr>
        <w:t>23.03.2026</w:t>
      </w:r>
      <w:r w:rsidRPr="006F31C7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34920B80" w14:textId="77777777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61CFFD72" w14:textId="78E5AED9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C7">
        <w:rPr>
          <w:rFonts w:ascii="Arial" w:eastAsia="Times New Roman" w:hAnsi="Arial" w:cs="Arial"/>
          <w:color w:val="000000"/>
          <w:sz w:val="24"/>
          <w:szCs w:val="24"/>
        </w:rPr>
        <w:t xml:space="preserve">Otvaranje ponuda održaće se dana </w:t>
      </w:r>
      <w:r w:rsidR="001051C6">
        <w:rPr>
          <w:rFonts w:ascii="Arial" w:eastAsia="Times New Roman" w:hAnsi="Arial" w:cs="Arial"/>
          <w:color w:val="000000"/>
          <w:sz w:val="24"/>
          <w:szCs w:val="24"/>
        </w:rPr>
        <w:t>23.03.2026</w:t>
      </w:r>
      <w:r w:rsidRPr="006F31C7">
        <w:rPr>
          <w:rFonts w:ascii="Arial" w:eastAsia="Times New Roman" w:hAnsi="Arial" w:cs="Arial"/>
          <w:color w:val="000000"/>
          <w:sz w:val="24"/>
          <w:szCs w:val="24"/>
        </w:rPr>
        <w:t xml:space="preserve">. godine u 10 sati. </w:t>
      </w:r>
    </w:p>
    <w:p w14:paraId="033AF75A" w14:textId="77777777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82FF19E" w14:textId="77777777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C7">
        <w:rPr>
          <w:rFonts w:ascii="Arial" w:eastAsia="Times New Roman" w:hAnsi="Arial" w:cs="Arial"/>
          <w:color w:val="000000"/>
          <w:sz w:val="24"/>
          <w:szCs w:val="24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3254FD8A" w14:textId="77777777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18F5804" w14:textId="77777777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C7">
        <w:rPr>
          <w:rFonts w:ascii="Arial" w:eastAsia="Times New Roman" w:hAnsi="Arial" w:cs="Arial"/>
          <w:color w:val="000000"/>
          <w:sz w:val="24"/>
          <w:szCs w:val="24"/>
        </w:rPr>
        <w:t xml:space="preserve">Adresa za dostavljanje Garancije ponude je: </w:t>
      </w:r>
    </w:p>
    <w:p w14:paraId="73304138" w14:textId="77777777" w:rsidR="006F31C7" w:rsidRPr="006F31C7" w:rsidRDefault="006F31C7" w:rsidP="006F31C7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C7">
        <w:rPr>
          <w:rFonts w:ascii="Arial" w:eastAsia="Times New Roman" w:hAnsi="Arial" w:cs="Arial"/>
          <w:color w:val="000000"/>
          <w:sz w:val="24"/>
          <w:szCs w:val="24"/>
        </w:rPr>
        <w:t>neposrednim podnošenjem na arhivi naručioca na adresi Ul. Vuka Karadžića broj 2, Nikšić;</w:t>
      </w:r>
    </w:p>
    <w:p w14:paraId="1D42E68A" w14:textId="77777777" w:rsidR="006F31C7" w:rsidRPr="006F31C7" w:rsidRDefault="006F31C7" w:rsidP="006F31C7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C7">
        <w:rPr>
          <w:rFonts w:ascii="Arial" w:eastAsia="Times New Roman" w:hAnsi="Arial" w:cs="Arial"/>
          <w:color w:val="000000"/>
          <w:sz w:val="24"/>
          <w:szCs w:val="24"/>
        </w:rPr>
        <w:t xml:space="preserve">preporučenom pošiljkom sa povratnicom na adresi Ul. Vuka Karadžića broj 2, Nikšić, s tim što Garancija ponude mora biti uručena od strane poštanskog operatora najkasnije do roka određenog za podnošenje ponude, </w:t>
      </w:r>
    </w:p>
    <w:p w14:paraId="2A92F3A8" w14:textId="0B664280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C7">
        <w:rPr>
          <w:rFonts w:ascii="Arial" w:eastAsia="Times New Roman" w:hAnsi="Arial" w:cs="Arial"/>
          <w:color w:val="000000"/>
          <w:sz w:val="24"/>
          <w:szCs w:val="24"/>
        </w:rPr>
        <w:t xml:space="preserve">radnim danima od 7 do 15 sati, zaključno sa danom </w:t>
      </w:r>
      <w:r w:rsidR="001051C6">
        <w:rPr>
          <w:rFonts w:ascii="Arial" w:eastAsia="Times New Roman" w:hAnsi="Arial" w:cs="Arial"/>
          <w:color w:val="000000"/>
          <w:sz w:val="24"/>
          <w:szCs w:val="24"/>
        </w:rPr>
        <w:t>23.03.2026</w:t>
      </w:r>
      <w:r w:rsidRPr="006F31C7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629A3E5C" w14:textId="77777777" w:rsidR="006F31C7" w:rsidRPr="006F31C7" w:rsidRDefault="006F31C7" w:rsidP="006F31C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3F7154" w14:textId="7F5F8EB3" w:rsidR="001051C6" w:rsidRDefault="006F31C7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C7">
        <w:rPr>
          <w:rFonts w:ascii="Arial" w:eastAsia="Times New Roman" w:hAnsi="Arial" w:cs="Arial"/>
          <w:color w:val="000000"/>
          <w:sz w:val="24"/>
          <w:szCs w:val="24"/>
        </w:rPr>
        <w:t>Napomena: Garancija ponude u pisanom obliku se dostavlja, u originalu, u posebnoj koverti na kojoj se navodi: naziv i sjedište Naručioca, broj tenderske dokumentacije za koju se podnosi Garancija, naziv, sjedište i adresa Ponuđača i naznake "Garancija ponude" i "Ne otvaraj prije roka za otvaranje ponuda“</w:t>
      </w:r>
      <w:r w:rsidR="00B7029F" w:rsidRPr="00375D1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7349248D" w14:textId="77777777" w:rsidR="00295D7E" w:rsidRDefault="00295D7E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58FDAF" w14:textId="3D2CBFD7" w:rsidR="00295D7E" w:rsidRDefault="00EB4CA4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4CA4">
        <w:rPr>
          <w:rFonts w:ascii="Arial" w:eastAsia="Times New Roman" w:hAnsi="Arial" w:cs="Arial"/>
          <w:color w:val="000000"/>
          <w:sz w:val="24"/>
          <w:szCs w:val="24"/>
        </w:rPr>
        <w:t>Zbog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isticanja prethodnog pretjodnog Ugovora, a</w:t>
      </w:r>
      <w:r w:rsidRPr="00EB4CA4">
        <w:rPr>
          <w:rFonts w:ascii="Arial" w:eastAsia="Times New Roman" w:hAnsi="Arial" w:cs="Arial"/>
          <w:color w:val="000000"/>
          <w:sz w:val="24"/>
          <w:szCs w:val="24"/>
        </w:rPr>
        <w:t xml:space="preserve"> hitnosti realizacije postupka skraćuje se rok za dostavljanje ponuda na 15 dana.</w:t>
      </w:r>
    </w:p>
    <w:p w14:paraId="47C2546E" w14:textId="77777777" w:rsidR="00442CF0" w:rsidRPr="00375D12" w:rsidRDefault="00442CF0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6169F59" w14:textId="77777777" w:rsidR="00EB1ECA" w:rsidRPr="00EB1ECA" w:rsidRDefault="00EB1ECA" w:rsidP="005B4E9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8" w:name="_Toc62730562"/>
      <w:r w:rsidRPr="00EB1ECA">
        <w:rPr>
          <w:rFonts w:ascii="Arial" w:eastAsia="Times New Roman" w:hAnsi="Arial" w:cs="Arial"/>
          <w:b/>
          <w:sz w:val="24"/>
          <w:szCs w:val="24"/>
        </w:rPr>
        <w:t>USLOVI ZA AKTIVIRANJE GARANCIJE PONUDE</w:t>
      </w:r>
      <w:r w:rsidRPr="00EB1ECA">
        <w:rPr>
          <w:rFonts w:ascii="Arial" w:eastAsia="Times New Roman" w:hAnsi="Arial" w:cs="Arial"/>
          <w:b/>
          <w:sz w:val="24"/>
          <w:szCs w:val="24"/>
          <w:vertAlign w:val="superscript"/>
        </w:rPr>
        <w:footnoteReference w:id="6"/>
      </w:r>
      <w:bookmarkEnd w:id="8"/>
    </w:p>
    <w:p w14:paraId="7CEBD22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DE909AF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14:paraId="70258CB6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1) odustane od ponude u roku važenja ponude i/ili</w:t>
      </w:r>
    </w:p>
    <w:p w14:paraId="6B9411FC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javnoj nabavci ili okvirni sporazum.</w:t>
      </w:r>
    </w:p>
    <w:p w14:paraId="2A82D1B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B4BD09" w14:textId="77777777" w:rsidR="00EB1ECA" w:rsidRPr="00EB1ECA" w:rsidRDefault="00EB1ECA" w:rsidP="00BB7B0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9" w:name="_Toc62730563"/>
      <w:r w:rsidRPr="00EB1ECA">
        <w:rPr>
          <w:rFonts w:ascii="Arial" w:eastAsia="Times New Roman" w:hAnsi="Arial" w:cs="Arial"/>
          <w:b/>
          <w:sz w:val="24"/>
          <w:szCs w:val="24"/>
        </w:rPr>
        <w:t>TAJNOST PODATAKA</w:t>
      </w:r>
      <w:bookmarkEnd w:id="9"/>
    </w:p>
    <w:p w14:paraId="6BC4F4C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DEEA54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14:paraId="474820F6" w14:textId="77777777" w:rsidR="00EB1ECA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35255ACE" w14:textId="77777777" w:rsidR="00EB1ECA" w:rsidRPr="00EB1ECA" w:rsidRDefault="00EB1ECA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14:paraId="751957B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0" w:name="_Toc62730564"/>
      <w:r w:rsidRPr="00EB1ECA">
        <w:rPr>
          <w:rFonts w:ascii="Arial" w:eastAsia="Times New Roman" w:hAnsi="Arial" w:cs="Arial"/>
          <w:b/>
          <w:sz w:val="24"/>
          <w:szCs w:val="24"/>
        </w:rPr>
        <w:t>UPUTSTVO ZA SAČINJAVANJE PONUDE</w:t>
      </w:r>
      <w:bookmarkEnd w:id="10"/>
    </w:p>
    <w:p w14:paraId="6847013D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076172" w14:textId="3EA5199C" w:rsidR="00EB1ECA" w:rsidRPr="00EB1ECA" w:rsidRDefault="005C3062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Ponuda</w:t>
      </w:r>
      <w:r w:rsidR="00EB1ECA" w:rsidRPr="00EB1ECA">
        <w:rPr>
          <w:rFonts w:ascii="Arial" w:eastAsia="Times New Roman" w:hAnsi="Arial" w:cs="Arial"/>
          <w:sz w:val="24"/>
          <w:szCs w:val="24"/>
        </w:rPr>
        <w:t xml:space="preserve"> se sačinjava u ESJN u skladu sa tenderskom dokumentacijom i važećim Pravilnikom o sadržaju ponude i uputstvu za sačinjavanje i podnošenje ponude. </w:t>
      </w:r>
    </w:p>
    <w:p w14:paraId="4132158D" w14:textId="77777777" w:rsidR="00EB1ECA" w:rsidRPr="00531F94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Ispunjenost uslova za učešće u postupku javne nabavke dokazuje se izjavom privrednog subjekta, koja se sačinjava na obrascu datom u Pravilniku o obrascu izjave privrednog subjekta.</w:t>
      </w:r>
    </w:p>
    <w:p w14:paraId="39719279" w14:textId="77777777" w:rsidR="00B7029F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0CF409" w14:textId="77777777" w:rsidR="00EB1ECA" w:rsidRDefault="00EB1ECA" w:rsidP="00EB1E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Ponuđač je dužan da tačno, potpuno, pravilno i nedvosmisleno popuni </w:t>
      </w:r>
      <w:r w:rsidRPr="00EB1ECA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14:paraId="6CFAF36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259ADF5" w14:textId="77777777" w:rsidR="00EB1ECA" w:rsidRPr="00EB1ECA" w:rsidRDefault="00EB1ECA" w:rsidP="00BD6AB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1" w:name="_Toc62730565"/>
      <w:r w:rsidRPr="00EB1ECA">
        <w:rPr>
          <w:rFonts w:ascii="Arial" w:eastAsia="Times New Roman" w:hAnsi="Arial" w:cs="Arial"/>
          <w:b/>
          <w:sz w:val="24"/>
          <w:szCs w:val="24"/>
        </w:rPr>
        <w:t>NAČIN ZAKLJUČIVANJA I IZMJENE UGOVORA O JAVNOJ NABAVCI</w:t>
      </w:r>
      <w:bookmarkEnd w:id="11"/>
    </w:p>
    <w:p w14:paraId="7573788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9E3BBD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0AB11F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5FCA66" w14:textId="37D2DF80" w:rsidR="00164B21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14:paraId="3CA4887C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52EC2A" w14:textId="7DD2FBE9" w:rsidR="00DD7E3A" w:rsidRPr="00D252B0" w:rsidRDefault="00DD7E3A" w:rsidP="00D252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10DB">
        <w:rPr>
          <w:rFonts w:ascii="Arial" w:eastAsia="Times New Roman" w:hAnsi="Arial" w:cs="Arial"/>
          <w:color w:val="000000"/>
          <w:sz w:val="24"/>
          <w:szCs w:val="24"/>
        </w:rPr>
        <w:t>Ugovor između naručioca i ponuđača čija je ponuda izabrana kao najpovoljnija, pored uslova koji su propisani ovom tenderskom dokumentacijom, će sadržati i sljedeće:</w:t>
      </w:r>
      <w:r w:rsidRPr="00D110D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7"/>
      </w:r>
    </w:p>
    <w:p w14:paraId="333ACB4B" w14:textId="77777777" w:rsidR="00DD7E3A" w:rsidRPr="00D110DB" w:rsidRDefault="00DD7E3A" w:rsidP="00DD7E3A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605DE44C" w14:textId="77777777" w:rsidR="00DD7E3A" w:rsidRPr="00D110DB" w:rsidRDefault="00DD7E3A" w:rsidP="00DD7E3A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D110DB">
        <w:rPr>
          <w:rFonts w:ascii="Arial" w:eastAsia="Calibri" w:hAnsi="Arial" w:cs="Arial"/>
          <w:b/>
          <w:sz w:val="24"/>
          <w:szCs w:val="24"/>
          <w:lang w:val="sr-Latn-CS"/>
        </w:rPr>
        <w:t>Obaveze Izvršioca i Naručioca tokom realizacije Ugovora</w:t>
      </w:r>
    </w:p>
    <w:p w14:paraId="0D0C2CE0" w14:textId="77777777" w:rsidR="00DD7E3A" w:rsidRPr="00D110DB" w:rsidRDefault="00DD7E3A" w:rsidP="00DD7E3A">
      <w:pPr>
        <w:spacing w:after="0" w:line="240" w:lineRule="auto"/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</w:pP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  <w:t>Obaveze Izvršioca su:</w:t>
      </w:r>
    </w:p>
    <w:p w14:paraId="27224B1E" w14:textId="77777777" w:rsidR="00DD7E3A" w:rsidRPr="00D110DB" w:rsidRDefault="00DD7E3A" w:rsidP="00DD7E3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bCs/>
          <w:noProof/>
          <w:color w:val="000000"/>
          <w:sz w:val="24"/>
          <w:szCs w:val="24"/>
          <w:lang w:val="sr-Latn-CS"/>
        </w:rPr>
      </w:pP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>da obezbijedi sredstva i radnu snagu potrebnu za pružanje predmetnih usluga u svim objektima iz tehničke specifikacije, kao i da rukovodi izvršenjem svih usluga;</w:t>
      </w:r>
    </w:p>
    <w:p w14:paraId="69A88B26" w14:textId="77777777" w:rsidR="00DD7E3A" w:rsidRPr="00D110DB" w:rsidRDefault="00DD7E3A" w:rsidP="00DD7E3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bCs/>
          <w:noProof/>
          <w:color w:val="000000"/>
          <w:sz w:val="24"/>
          <w:szCs w:val="24"/>
          <w:lang w:val="sr-Latn-CS"/>
        </w:rPr>
      </w:pP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>u slučaju da neko od članova osoblja Izvršioca neplanirano ili nenajavljeno prekine sa pružanjem usluga, Izvršilac je dužan da obezbijedi uslugu čišćenja u najkraćem mogućem roku, tako da prekid ne smije trajati duže od 48 h od trenutka prekida pružanja ugovorene usluge;</w:t>
      </w:r>
    </w:p>
    <w:p w14:paraId="01EF1510" w14:textId="77777777" w:rsidR="00DD7E3A" w:rsidRPr="00C04524" w:rsidRDefault="00DD7E3A" w:rsidP="00DD7E3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bCs/>
          <w:noProof/>
          <w:color w:val="000000"/>
          <w:sz w:val="24"/>
          <w:szCs w:val="24"/>
        </w:rPr>
      </w:pPr>
      <w:r w:rsidRPr="00D110DB">
        <w:rPr>
          <w:rFonts w:ascii="Arial" w:eastAsia="Calibri" w:hAnsi="Arial" w:cs="Arial"/>
          <w:bCs/>
          <w:noProof/>
          <w:color w:val="000000"/>
          <w:sz w:val="24"/>
          <w:szCs w:val="24"/>
          <w:lang w:val="pl-PL"/>
        </w:rPr>
        <w:t xml:space="preserve">da primijeni mjere zaštite na radu propisane </w:t>
      </w:r>
      <w:r w:rsidRPr="00D110DB">
        <w:rPr>
          <w:rFonts w:ascii="Arial" w:eastAsia="Calibri" w:hAnsi="Arial" w:cs="Arial"/>
          <w:bCs/>
          <w:noProof/>
          <w:color w:val="000000"/>
          <w:sz w:val="24"/>
          <w:szCs w:val="24"/>
          <w:lang w:val="sr-Latn-CS"/>
        </w:rPr>
        <w:t>z</w:t>
      </w:r>
      <w:r w:rsidRPr="00D110DB">
        <w:rPr>
          <w:rFonts w:ascii="Arial" w:eastAsia="Calibri" w:hAnsi="Arial" w:cs="Arial"/>
          <w:bCs/>
          <w:noProof/>
          <w:color w:val="000000"/>
          <w:sz w:val="24"/>
          <w:szCs w:val="24"/>
          <w:lang w:val="pl-PL"/>
        </w:rPr>
        <w:t>akonom</w:t>
      </w:r>
      <w:r w:rsidRPr="00D110DB">
        <w:rPr>
          <w:rFonts w:ascii="Arial" w:eastAsia="Calibri" w:hAnsi="Arial" w:cs="Arial"/>
          <w:bCs/>
          <w:noProof/>
          <w:color w:val="000000"/>
          <w:sz w:val="24"/>
          <w:szCs w:val="24"/>
          <w:lang w:val="sr-Latn-CS"/>
        </w:rPr>
        <w:t>,</w:t>
      </w: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 xml:space="preserve"> kako ne bi došlo do povrede, </w:t>
      </w:r>
      <w:r w:rsidRPr="00C04524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>odnosno nesreće na poslu;</w:t>
      </w:r>
    </w:p>
    <w:p w14:paraId="4C07BBA3" w14:textId="77777777" w:rsidR="00DD7E3A" w:rsidRPr="00C04524" w:rsidRDefault="00DD7E3A" w:rsidP="00DD7E3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val="sr-Latn-CS"/>
        </w:rPr>
      </w:pPr>
      <w:r w:rsidRPr="00C04524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 xml:space="preserve">da odmah (u roku od 48h) po zahtjevu ovlašćenog predstavnika Naručioca, pristupi otklanjanju uočenih nedostataka i propusta u obavljanju posla; </w:t>
      </w:r>
    </w:p>
    <w:p w14:paraId="5FB6383A" w14:textId="77777777" w:rsidR="00DD7E3A" w:rsidRPr="00C04524" w:rsidRDefault="00DD7E3A" w:rsidP="00DD7E3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val="sr-Latn-CS"/>
        </w:rPr>
      </w:pPr>
      <w:r w:rsidRPr="00C04524">
        <w:rPr>
          <w:rFonts w:ascii="Arial" w:eastAsia="Calibri" w:hAnsi="Arial" w:cs="Arial"/>
          <w:noProof/>
          <w:color w:val="000000"/>
          <w:sz w:val="24"/>
          <w:szCs w:val="24"/>
          <w:lang w:val="en-US"/>
        </w:rPr>
        <w:t>da na zahtjev ovlašćenog lica Naručioca, dostavi sertifikate za hemijska sredstva: “CRADLE to CRADLE“ i ECOLABEL.</w:t>
      </w:r>
    </w:p>
    <w:p w14:paraId="6C97FC02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highlight w:val="yellow"/>
          <w:lang w:val="sr-Latn-RS"/>
        </w:rPr>
      </w:pPr>
    </w:p>
    <w:p w14:paraId="1DABCAFF" w14:textId="77777777" w:rsidR="00DD7E3A" w:rsidRPr="00D110DB" w:rsidRDefault="00DD7E3A" w:rsidP="00DD7E3A">
      <w:pPr>
        <w:spacing w:after="0" w:line="240" w:lineRule="auto"/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</w:pP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  <w:t>Obaveze Naručioca su:</w:t>
      </w:r>
    </w:p>
    <w:p w14:paraId="62974C43" w14:textId="77777777" w:rsidR="00DD7E3A" w:rsidRPr="00D110DB" w:rsidRDefault="00DD7E3A" w:rsidP="00DD7E3A">
      <w:pPr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</w:pP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  <w:t>da imenuje ovlašćenog predstavnika koji pratiti realizaciju izvršenja usluga i da prisustvuje primopredaji usluga;</w:t>
      </w:r>
    </w:p>
    <w:p w14:paraId="615585F2" w14:textId="77777777" w:rsidR="00DD7E3A" w:rsidRPr="00D110DB" w:rsidRDefault="00DD7E3A" w:rsidP="00DD7E3A">
      <w:pPr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</w:pP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  <w:t>da vrši uredno plaćanja na način definisan ovim Ugovorom;</w:t>
      </w:r>
    </w:p>
    <w:p w14:paraId="29008C6D" w14:textId="77777777" w:rsidR="00DD7E3A" w:rsidRPr="00D110DB" w:rsidRDefault="00DD7E3A" w:rsidP="00DD7E3A">
      <w:pPr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</w:pP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  <w:t>da u cilju kontrole kvaliteta izvrši uvid i kontrolu sertifikata za hemijska sredstva:   “CRADLE to CRADLE“ i ECOLABEL.</w:t>
      </w:r>
    </w:p>
    <w:p w14:paraId="15180093" w14:textId="77777777" w:rsidR="00DD7E3A" w:rsidRPr="00D110DB" w:rsidRDefault="00DD7E3A" w:rsidP="00DD7E3A">
      <w:pPr>
        <w:spacing w:after="0" w:line="240" w:lineRule="auto"/>
        <w:ind w:left="720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RS"/>
        </w:rPr>
      </w:pPr>
    </w:p>
    <w:p w14:paraId="6D11E8C9" w14:textId="77777777" w:rsidR="001051C6" w:rsidRDefault="001051C6" w:rsidP="00DD7E3A">
      <w:pPr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4"/>
          <w:szCs w:val="24"/>
          <w:lang w:val="sr-Latn-RS"/>
        </w:rPr>
      </w:pPr>
    </w:p>
    <w:p w14:paraId="631C6160" w14:textId="77777777" w:rsidR="001051C6" w:rsidRDefault="001051C6" w:rsidP="00DD7E3A">
      <w:pPr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4"/>
          <w:szCs w:val="24"/>
          <w:lang w:val="sr-Latn-RS"/>
        </w:rPr>
      </w:pPr>
    </w:p>
    <w:p w14:paraId="52D0918A" w14:textId="77777777" w:rsidR="001051C6" w:rsidRDefault="001051C6" w:rsidP="00DD7E3A">
      <w:pPr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4"/>
          <w:szCs w:val="24"/>
          <w:lang w:val="sr-Latn-RS"/>
        </w:rPr>
      </w:pPr>
    </w:p>
    <w:p w14:paraId="54DACC1C" w14:textId="77777777" w:rsidR="00DD7E3A" w:rsidRDefault="00DD7E3A" w:rsidP="00DD7E3A">
      <w:pPr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4"/>
          <w:szCs w:val="24"/>
          <w:lang w:val="sr-Latn-RS"/>
        </w:rPr>
      </w:pPr>
      <w:r w:rsidRPr="00D110DB">
        <w:rPr>
          <w:rFonts w:ascii="Arial" w:eastAsia="Calibri" w:hAnsi="Arial" w:cs="Arial"/>
          <w:b/>
          <w:noProof/>
          <w:color w:val="000000"/>
          <w:sz w:val="24"/>
          <w:szCs w:val="24"/>
          <w:lang w:val="sr-Latn-RS"/>
        </w:rPr>
        <w:t>Ispostavljanje faktura za izvršene usluge u komunikacija između Naručioca i Izvršioca</w:t>
      </w:r>
    </w:p>
    <w:p w14:paraId="7195D363" w14:textId="77777777" w:rsidR="00DD7E3A" w:rsidRPr="00D110DB" w:rsidRDefault="00DD7E3A" w:rsidP="00DD7E3A">
      <w:pPr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4"/>
          <w:szCs w:val="24"/>
          <w:lang w:val="sr-Latn-RS"/>
        </w:rPr>
      </w:pPr>
    </w:p>
    <w:p w14:paraId="271FF639" w14:textId="422823AC" w:rsidR="00DD7E3A" w:rsidRPr="00DD7E3A" w:rsidRDefault="00DD7E3A" w:rsidP="00DD7E3A">
      <w:pPr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</w:pP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 xml:space="preserve">Izvršilac fakture po organizacionim cjelima EPCG AD Nikšić ispostavlja na adresu EPCG AD Nikšić, Vuka Karadžića br. 2, Nikšić, n/r </w:t>
      </w:r>
      <w:r w:rsidR="001051C6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>Andrija Lazović</w:t>
      </w:r>
      <w:r w:rsidRPr="00D110DB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>. Fakture moraju biti ovjerene od strane ovlašćenih lica Naručioca i Izvršioca.</w:t>
      </w:r>
      <w:r w:rsidRPr="00D110DB">
        <w:rPr>
          <w:rFonts w:ascii="Arial" w:eastAsia="Calibri" w:hAnsi="Arial" w:cs="Arial"/>
          <w:noProof/>
          <w:color w:val="000000"/>
          <w:sz w:val="24"/>
          <w:szCs w:val="24"/>
        </w:rPr>
        <w:t xml:space="preserve"> Faktura mora sadržati broj Ugovora po kojim se plaćanje vrši. U prilogu fakture se nalazi potvrda o izvršenim uslugama.</w:t>
      </w:r>
    </w:p>
    <w:p w14:paraId="7FCB99AE" w14:textId="77777777" w:rsidR="00DD7E3A" w:rsidRDefault="00DD7E3A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1CB806C8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  <w:r w:rsidRPr="00531F94">
        <w:rPr>
          <w:rFonts w:ascii="Arial" w:eastAsia="PMingLiU" w:hAnsi="Arial" w:cs="Arial"/>
          <w:b/>
          <w:sz w:val="24"/>
          <w:szCs w:val="24"/>
          <w:lang w:val="sr-Latn-CS" w:eastAsia="zh-TW"/>
        </w:rPr>
        <w:t>RASKID UGOVORA</w:t>
      </w:r>
    </w:p>
    <w:p w14:paraId="5AE8DB7B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3238D9B2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4A045D9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pisanom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obavještenjem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otkaznim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(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petnaest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dana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drugoj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mora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biti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naznačeno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487B1E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međusobna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obaveze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proističu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04C1371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14:paraId="036B92CD" w14:textId="77777777" w:rsidR="00B7029F" w:rsidRPr="00531F94" w:rsidRDefault="00B7029F" w:rsidP="00B7029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Izvođač ne bude izvršavao svoje obaveze u rokovima i na način predviđenim Ugovorom;</w:t>
      </w:r>
    </w:p>
    <w:p w14:paraId="50EB7858" w14:textId="0C38EE35" w:rsidR="00B7029F" w:rsidRPr="00531F94" w:rsidRDefault="00B7029F" w:rsidP="001051C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Nastupe okolnosti iz člana 150 ZJN </w:t>
      </w:r>
      <w:r w:rsidR="001051C6" w:rsidRPr="001051C6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(„Službeni list CG”, br.</w:t>
      </w:r>
      <w:r w:rsidR="001051C6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74/19, 003/23, 011/23 i 84/24)</w:t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.</w:t>
      </w:r>
    </w:p>
    <w:p w14:paraId="29CEC1F1" w14:textId="77777777" w:rsidR="000B17B1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predviđen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  </w:t>
      </w:r>
    </w:p>
    <w:p w14:paraId="7F1722D2" w14:textId="77777777" w:rsidR="001051C6" w:rsidRDefault="001051C6" w:rsidP="00B7029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63BF67E8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531F94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Antikorupcijsko pravilo i rješavanje sporova, zaključivanje i stupanje na snagu Ugovora</w:t>
      </w:r>
    </w:p>
    <w:p w14:paraId="41022AC3" w14:textId="77777777" w:rsidR="00B7029F" w:rsidRPr="00531F94" w:rsidRDefault="00B7029F" w:rsidP="00B7029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0B2F61D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14:paraId="33CA521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73BD4C3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Sve eventualne sporove koji nastanu u vezi Ugovora ugovorne strane će rješavati sporazumno, a ako to ne bude moguće za rješavanje istih nadležan je Privredni sud Crne Gore.</w:t>
      </w:r>
    </w:p>
    <w:p w14:paraId="4022F6B0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185E83B3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nabavci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kršenje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antikorupcijskog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važećeg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ništavan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je.</w:t>
      </w:r>
    </w:p>
    <w:p w14:paraId="7CEF219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0AE02FD" w14:textId="70D88D67" w:rsidR="00492BCE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stupa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snagu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potpisivanja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ovjere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="000F09C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359FBBA4" w14:textId="77777777" w:rsidR="001051C6" w:rsidRDefault="001051C6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BEE450A" w14:textId="77777777" w:rsidR="001051C6" w:rsidRDefault="001051C6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EDB6EE5" w14:textId="77777777" w:rsidR="001051C6" w:rsidRDefault="001051C6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33A0E00" w14:textId="77777777" w:rsidR="001051C6" w:rsidRDefault="001051C6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537E26E" w14:textId="77777777" w:rsidR="001051C6" w:rsidRDefault="001051C6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BF653ED" w14:textId="77777777" w:rsidR="001051C6" w:rsidRDefault="001051C6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3FE8D40" w14:textId="77777777" w:rsidR="001051C6" w:rsidRPr="00EA5ADC" w:rsidRDefault="001051C6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BAB439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2" w:name="_Toc62730566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ZAHTJEV ZA POJAŠNJENJE ILI IZMJENU I DOPUNU TENDERSKE DOKUMENTACIJE</w:t>
      </w:r>
      <w:bookmarkEnd w:id="12"/>
    </w:p>
    <w:p w14:paraId="28A0B238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E1DB12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6E9E1B6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8D29E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</w:p>
    <w:p w14:paraId="10E2F4F3" w14:textId="49182D06" w:rsidR="000F09C9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Zahtjev se podnosi isključivo putem ESJN-a.</w:t>
      </w:r>
    </w:p>
    <w:p w14:paraId="01B20DA5" w14:textId="77777777" w:rsidR="004B3ADC" w:rsidRDefault="004B3AD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6C2285E" w14:textId="77777777" w:rsidR="004B3ADC" w:rsidRDefault="004B3AD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1936530" w14:textId="77777777" w:rsidR="004B3ADC" w:rsidRDefault="004B3AD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77DCE82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E9F327D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C60A865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329135F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9D8CD78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D4F6A02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AA2B169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E7CC529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A4A2B1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E023040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501D9D2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0E2D92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F7238B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1B3561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BDBB8AF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748E15F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FAE483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11D37C1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8F0A980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3A36ACA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44B8AD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6D90E6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5CAF67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6C1F92E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A812FBB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910E07D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810728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FC6B03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A237FE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34AE650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725923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CD277E5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4E6069" w14:textId="77777777" w:rsidR="001051C6" w:rsidRDefault="001051C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E9D8E0D" w14:textId="77777777" w:rsidR="004B3ADC" w:rsidRPr="00EB1ECA" w:rsidRDefault="004B3AD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A04C3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3" w:name="_Toc416180136"/>
      <w:bookmarkStart w:id="14" w:name="_Toc508349235"/>
      <w:bookmarkStart w:id="15" w:name="_Toc62730567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 xml:space="preserve"> IZJAVA NARUČIOCA O NEPOSTOJANJU SUKOBA INTERESA</w:t>
      </w:r>
      <w:bookmarkEnd w:id="13"/>
      <w:bookmarkEnd w:id="14"/>
      <w:bookmarkEnd w:id="15"/>
    </w:p>
    <w:p w14:paraId="1D9983AC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55D2A37" w14:textId="77777777" w:rsidR="00EB1ECA" w:rsidRPr="00EB1ECA" w:rsidRDefault="009A1C47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object w:dxaOrig="8925" w:dyaOrig="12631" w14:anchorId="5E72E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bat.Document.DC" ShapeID="_x0000_i1025" DrawAspect="Content" ObjectID="_1834306998" r:id="rId9"/>
        </w:object>
      </w:r>
      <w:bookmarkStart w:id="16" w:name="_GoBack"/>
      <w:bookmarkEnd w:id="16"/>
    </w:p>
    <w:p w14:paraId="2459C6EC" w14:textId="76D57C46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3AE3AD0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70E4B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bookmarkStart w:id="17" w:name="_Toc62730568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UPUTSTVO O PRAVNOM SREDSTVU</w:t>
      </w:r>
      <w:bookmarkEnd w:id="17"/>
    </w:p>
    <w:p w14:paraId="4502ADC0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2D068D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Privredni subjekat može da izjavi žalbu protiv ove tenderske dokumentacije Komisiji za zaštitu prava</w:t>
      </w: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14:paraId="605365AF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1)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30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7A70D964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2)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deset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5650C3F8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3) do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polovine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a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posljednji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dan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24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časa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da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ističe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istekom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tog dana.</w:t>
      </w:r>
    </w:p>
    <w:p w14:paraId="737AD7A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AF5A30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14:paraId="4423B27D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833117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BFF045D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5748C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14:paraId="5C904187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2EB136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10" w:history="1">
        <w:r w:rsidRPr="00531F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Pr="00EB1ECA"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14:paraId="0B511DF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F6584E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A6733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9DE3E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3C4113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9945EC" w14:textId="77777777" w:rsidR="00B51F53" w:rsidRPr="00531F94" w:rsidRDefault="00B51F53">
      <w:pPr>
        <w:rPr>
          <w:rFonts w:ascii="Arial" w:hAnsi="Arial" w:cs="Arial"/>
          <w:sz w:val="24"/>
          <w:szCs w:val="24"/>
        </w:rPr>
      </w:pPr>
    </w:p>
    <w:sectPr w:rsidR="00B51F53" w:rsidRPr="00531F9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D022" w14:textId="77777777" w:rsidR="00391D7A" w:rsidRDefault="00391D7A" w:rsidP="00EB1ECA">
      <w:pPr>
        <w:spacing w:after="0" w:line="240" w:lineRule="auto"/>
      </w:pPr>
      <w:r>
        <w:separator/>
      </w:r>
    </w:p>
  </w:endnote>
  <w:endnote w:type="continuationSeparator" w:id="0">
    <w:p w14:paraId="1F53DDD7" w14:textId="77777777" w:rsidR="00391D7A" w:rsidRDefault="00391D7A" w:rsidP="00EB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096" w14:textId="77777777" w:rsidR="00EB1ECA" w:rsidRPr="00EB1ECA" w:rsidRDefault="00EB1EC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PAGE 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9A1C47">
      <w:rPr>
        <w:rFonts w:ascii="Arial" w:hAnsi="Arial" w:cs="Arial"/>
        <w:noProof/>
        <w:color w:val="323E4F" w:themeColor="text2" w:themeShade="BF"/>
      </w:rPr>
      <w:t>11</w:t>
    </w:r>
    <w:r w:rsidRPr="00EB1ECA">
      <w:rPr>
        <w:rFonts w:ascii="Arial" w:hAnsi="Arial" w:cs="Arial"/>
        <w:color w:val="323E4F" w:themeColor="text2" w:themeShade="BF"/>
      </w:rPr>
      <w:fldChar w:fldCharType="end"/>
    </w:r>
    <w:r w:rsidRPr="00EB1ECA">
      <w:rPr>
        <w:rFonts w:ascii="Arial" w:hAnsi="Arial" w:cs="Arial"/>
        <w:color w:val="323E4F" w:themeColor="text2" w:themeShade="BF"/>
      </w:rPr>
      <w:t xml:space="preserve"> | </w:t>
    </w: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NUMPAGES  \* Arabic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9A1C47">
      <w:rPr>
        <w:rFonts w:ascii="Arial" w:hAnsi="Arial" w:cs="Arial"/>
        <w:noProof/>
        <w:color w:val="323E4F" w:themeColor="text2" w:themeShade="BF"/>
      </w:rPr>
      <w:t>11</w:t>
    </w:r>
    <w:r w:rsidRPr="00EB1ECA">
      <w:rPr>
        <w:rFonts w:ascii="Arial" w:hAnsi="Arial" w:cs="Arial"/>
        <w:color w:val="323E4F" w:themeColor="text2" w:themeShade="BF"/>
      </w:rPr>
      <w:fldChar w:fldCharType="end"/>
    </w:r>
  </w:p>
  <w:p w14:paraId="73E0C8B5" w14:textId="77777777" w:rsidR="00EB1ECA" w:rsidRDefault="00EB1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5FABB" w14:textId="77777777" w:rsidR="00391D7A" w:rsidRDefault="00391D7A" w:rsidP="00EB1ECA">
      <w:pPr>
        <w:spacing w:after="0" w:line="240" w:lineRule="auto"/>
      </w:pPr>
      <w:r>
        <w:separator/>
      </w:r>
    </w:p>
  </w:footnote>
  <w:footnote w:type="continuationSeparator" w:id="0">
    <w:p w14:paraId="7BB8162E" w14:textId="77777777" w:rsidR="00391D7A" w:rsidRDefault="00391D7A" w:rsidP="00EB1ECA">
      <w:pPr>
        <w:spacing w:after="0" w:line="240" w:lineRule="auto"/>
      </w:pPr>
      <w:r>
        <w:continuationSeparator/>
      </w:r>
    </w:p>
  </w:footnote>
  <w:footnote w:id="1">
    <w:p w14:paraId="459D202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37E7633E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2D70AA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EC08D4C" w14:textId="77777777" w:rsidR="00EB1ECA" w:rsidRPr="00367536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5">
    <w:p w14:paraId="3BEE8F33" w14:textId="77777777" w:rsidR="00EB1ECA" w:rsidRPr="0083641C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6">
    <w:p w14:paraId="49F87556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7">
    <w:p w14:paraId="57AB8763" w14:textId="77777777" w:rsidR="00DD7E3A" w:rsidRPr="002E211C" w:rsidRDefault="00DD7E3A" w:rsidP="00DD7E3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437025"/>
    <w:multiLevelType w:val="hybridMultilevel"/>
    <w:tmpl w:val="012E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6D37BE"/>
    <w:multiLevelType w:val="hybridMultilevel"/>
    <w:tmpl w:val="516C1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1D0E"/>
    <w:multiLevelType w:val="hybridMultilevel"/>
    <w:tmpl w:val="E4A8BB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31455"/>
    <w:multiLevelType w:val="hybridMultilevel"/>
    <w:tmpl w:val="C026ED4A"/>
    <w:lvl w:ilvl="0" w:tplc="247A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261FEE"/>
    <w:multiLevelType w:val="hybridMultilevel"/>
    <w:tmpl w:val="2E9EEB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D82220"/>
    <w:multiLevelType w:val="hybridMultilevel"/>
    <w:tmpl w:val="D4BCDFA8"/>
    <w:lvl w:ilvl="0" w:tplc="7B10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3"/>
  </w:num>
  <w:num w:numId="5">
    <w:abstractNumId w:val="16"/>
  </w:num>
  <w:num w:numId="6">
    <w:abstractNumId w:val="14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2"/>
    <w:rsid w:val="00054FF8"/>
    <w:rsid w:val="000A5BEA"/>
    <w:rsid w:val="000B17B1"/>
    <w:rsid w:val="000E067E"/>
    <w:rsid w:val="000F09C9"/>
    <w:rsid w:val="00102FC2"/>
    <w:rsid w:val="001051C6"/>
    <w:rsid w:val="00164B21"/>
    <w:rsid w:val="001843B3"/>
    <w:rsid w:val="0019078B"/>
    <w:rsid w:val="00196A2D"/>
    <w:rsid w:val="001B1DE4"/>
    <w:rsid w:val="001E5167"/>
    <w:rsid w:val="00200DDB"/>
    <w:rsid w:val="00295D7E"/>
    <w:rsid w:val="002A5DDF"/>
    <w:rsid w:val="002A775E"/>
    <w:rsid w:val="00306D25"/>
    <w:rsid w:val="00375D12"/>
    <w:rsid w:val="00376110"/>
    <w:rsid w:val="00391D7A"/>
    <w:rsid w:val="003B1582"/>
    <w:rsid w:val="003E575D"/>
    <w:rsid w:val="003F1BA9"/>
    <w:rsid w:val="004043B4"/>
    <w:rsid w:val="00442CF0"/>
    <w:rsid w:val="00492BCE"/>
    <w:rsid w:val="004B3ADC"/>
    <w:rsid w:val="004D4DA4"/>
    <w:rsid w:val="0050726A"/>
    <w:rsid w:val="00531F94"/>
    <w:rsid w:val="0054107C"/>
    <w:rsid w:val="005445D0"/>
    <w:rsid w:val="00545A06"/>
    <w:rsid w:val="00597B9D"/>
    <w:rsid w:val="005B4E98"/>
    <w:rsid w:val="005C3062"/>
    <w:rsid w:val="005C5C1D"/>
    <w:rsid w:val="005E2453"/>
    <w:rsid w:val="00613C22"/>
    <w:rsid w:val="00664B3A"/>
    <w:rsid w:val="00667DF0"/>
    <w:rsid w:val="00672F55"/>
    <w:rsid w:val="006D12D8"/>
    <w:rsid w:val="006F142A"/>
    <w:rsid w:val="006F31C7"/>
    <w:rsid w:val="00740EBA"/>
    <w:rsid w:val="007C0DFE"/>
    <w:rsid w:val="00820423"/>
    <w:rsid w:val="00831392"/>
    <w:rsid w:val="00841233"/>
    <w:rsid w:val="00846045"/>
    <w:rsid w:val="00846E03"/>
    <w:rsid w:val="0088012D"/>
    <w:rsid w:val="00887DCC"/>
    <w:rsid w:val="008A0A7D"/>
    <w:rsid w:val="008A3CB5"/>
    <w:rsid w:val="008C0840"/>
    <w:rsid w:val="009465E2"/>
    <w:rsid w:val="00963508"/>
    <w:rsid w:val="009A1C47"/>
    <w:rsid w:val="009C1E24"/>
    <w:rsid w:val="009C3688"/>
    <w:rsid w:val="009D1455"/>
    <w:rsid w:val="00A863C1"/>
    <w:rsid w:val="00AD13C5"/>
    <w:rsid w:val="00AF14C6"/>
    <w:rsid w:val="00B11724"/>
    <w:rsid w:val="00B17EB4"/>
    <w:rsid w:val="00B40306"/>
    <w:rsid w:val="00B41F0D"/>
    <w:rsid w:val="00B519E5"/>
    <w:rsid w:val="00B51F53"/>
    <w:rsid w:val="00B545CD"/>
    <w:rsid w:val="00B7029F"/>
    <w:rsid w:val="00B706BE"/>
    <w:rsid w:val="00B87492"/>
    <w:rsid w:val="00B8764D"/>
    <w:rsid w:val="00BB5C40"/>
    <w:rsid w:val="00BB7B03"/>
    <w:rsid w:val="00BC04FB"/>
    <w:rsid w:val="00BD1507"/>
    <w:rsid w:val="00BD6AB9"/>
    <w:rsid w:val="00BF351E"/>
    <w:rsid w:val="00C0188E"/>
    <w:rsid w:val="00C02299"/>
    <w:rsid w:val="00C155CA"/>
    <w:rsid w:val="00C26910"/>
    <w:rsid w:val="00C31DAD"/>
    <w:rsid w:val="00C5138C"/>
    <w:rsid w:val="00CA004E"/>
    <w:rsid w:val="00CB4EB3"/>
    <w:rsid w:val="00D142FC"/>
    <w:rsid w:val="00D24A82"/>
    <w:rsid w:val="00D252B0"/>
    <w:rsid w:val="00D27B4D"/>
    <w:rsid w:val="00D56CEE"/>
    <w:rsid w:val="00D57D61"/>
    <w:rsid w:val="00D60E00"/>
    <w:rsid w:val="00D70019"/>
    <w:rsid w:val="00D95AA4"/>
    <w:rsid w:val="00DB13B1"/>
    <w:rsid w:val="00DC3B56"/>
    <w:rsid w:val="00DC477A"/>
    <w:rsid w:val="00DC5E0F"/>
    <w:rsid w:val="00DD7E3A"/>
    <w:rsid w:val="00DE4204"/>
    <w:rsid w:val="00DE7D30"/>
    <w:rsid w:val="00DF51BF"/>
    <w:rsid w:val="00E42296"/>
    <w:rsid w:val="00EA5ADC"/>
    <w:rsid w:val="00EB1ECA"/>
    <w:rsid w:val="00EB4CA4"/>
    <w:rsid w:val="00ED4920"/>
    <w:rsid w:val="00EF0004"/>
    <w:rsid w:val="00F4556A"/>
    <w:rsid w:val="00F817AA"/>
    <w:rsid w:val="00FC2633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76B"/>
  <w15:chartTrackingRefBased/>
  <w15:docId w15:val="{DF0E00FC-03C0-4D4A-AADC-D88C417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B1E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1EC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B1E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CA"/>
  </w:style>
  <w:style w:type="paragraph" w:styleId="Footer">
    <w:name w:val="footer"/>
    <w:basedOn w:val="Normal"/>
    <w:link w:val="Foot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CA"/>
  </w:style>
  <w:style w:type="character" w:styleId="Hyperlink">
    <w:name w:val="Hyperlink"/>
    <w:basedOn w:val="DefaultParagraphFont"/>
    <w:uiPriority w:val="99"/>
    <w:unhideWhenUsed/>
    <w:rsid w:val="00B706BE"/>
    <w:rPr>
      <w:color w:val="0563C1" w:themeColor="hyperlink"/>
      <w:u w:val="single"/>
    </w:rPr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CA004E"/>
    <w:pPr>
      <w:overflowPunct w:val="0"/>
      <w:autoSpaceDE w:val="0"/>
      <w:autoSpaceDN w:val="0"/>
      <w:adjustRightInd w:val="0"/>
      <w:spacing w:after="240" w:line="38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5B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99"/>
    <w:locked/>
    <w:rsid w:val="000B17B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Spacing">
    <w:name w:val="No Spacing"/>
    <w:uiPriority w:val="1"/>
    <w:qFormat/>
    <w:rsid w:val="00A863C1"/>
    <w:pPr>
      <w:spacing w:after="0" w:line="240" w:lineRule="auto"/>
    </w:pPr>
    <w:rPr>
      <w:rFonts w:ascii="Calibri" w:eastAsia="PMingLiU" w:hAnsi="Calibri" w:cs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ntrola-nabavki.me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5C115-9AA9-4F46-8C2D-710E1C99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11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Kilibarda</dc:creator>
  <cp:keywords/>
  <dc:description/>
  <cp:lastModifiedBy>Ivana Kilibarda</cp:lastModifiedBy>
  <cp:revision>66</cp:revision>
  <dcterms:created xsi:type="dcterms:W3CDTF">2023-03-01T11:50:00Z</dcterms:created>
  <dcterms:modified xsi:type="dcterms:W3CDTF">2026-03-06T11:57:00Z</dcterms:modified>
</cp:coreProperties>
</file>